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bookmarkStart w:id="0" w:name="OLE_LINK1"/>
      <w:r>
        <w:rPr>
          <w:rFonts w:cs="Calibri" w:ascii="Calibri" w:hAnsi="Calibri"/>
          <w:b/>
          <w:sz w:val="20"/>
          <w:szCs w:val="20"/>
          <w:lang w:val="ru-RU"/>
        </w:rPr>
        <w:t xml:space="preserve">Руководство пользователя </w:t>
      </w:r>
      <w:r>
        <w:rPr>
          <w:rFonts w:cs="Calibri" w:ascii="Calibri" w:hAnsi="Calibri"/>
          <w:b/>
          <w:sz w:val="20"/>
          <w:szCs w:val="20"/>
        </w:rPr>
        <w:t>NU</w:t>
      </w:r>
      <w:r>
        <w:rPr>
          <w:rFonts w:cs="Calibri" w:ascii="Calibri" w:hAnsi="Calibri"/>
          <w:b/>
          <w:sz w:val="20"/>
          <w:szCs w:val="20"/>
          <w:lang w:val="ru-RU"/>
        </w:rPr>
        <w:t>2</w:t>
      </w:r>
      <w:bookmarkEnd w:id="0"/>
      <w:r>
        <w:rPr>
          <w:rFonts w:cs="Calibri" w:ascii="Calibri" w:hAnsi="Calibri"/>
          <w:b/>
          <w:sz w:val="20"/>
          <w:szCs w:val="20"/>
          <w:lang w:val="ru-RU"/>
        </w:rPr>
        <w:t>1</w:t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  <w:t>Краткая инструкция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/>
        <w:drawing>
          <wp:inline distT="0" distB="0" distL="0" distR="0">
            <wp:extent cx="7097395" cy="146621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  <w:t>Об устройстве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Двухлучевой перезаряжаемый посредством USB-C налобный фонарь для применения вне дома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Разработан специально для активного отдыха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Максимальная мощность — 360 люмен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Встроенный литий-ионный аккумулятор емкостью 500 мАч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Высокоэффективная схема постоянного тока обеспечивает стабильную работу устройства до 37 часов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Дизайн с двумя кнопками, отличающимися по форме и нажатию, обеспечивает простоту управления одной рукой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Доступны 4 уровня яркости, 2 источника света и 3 специальных режима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Встроена интеллектуальная схема зарядки литий-ионного аккумулятора с зарядным портом USB-C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Имеются 4 индикатора питания для сообщения оставшегося уровня заряда аккумулятора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Изготовлен из прочных поликарбонатных материалов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Водонепроницаемость и пыленепроницаемость в соответствии со стандартом IP66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Ударопрочность при падении с высоты до 1 метра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sz w:val="20"/>
          <w:szCs w:val="20"/>
          <w:lang w:val="ru-RU"/>
        </w:rPr>
        <w:t>Характеристики</w:t>
      </w:r>
    </w:p>
    <w:p>
      <w:pPr>
        <w:pStyle w:val="Normal"/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Размеры: 60.1 мм </w:t>
      </w:r>
      <w:r>
        <w:rPr>
          <w:rFonts w:eastAsia="等线" w:cs="Calibri" w:ascii="Calibri" w:hAnsi="Calibri" w:eastAsiaTheme="minorHAnsi"/>
          <w:sz w:val="20"/>
          <w:szCs w:val="20"/>
        </w:rPr>
        <w:t>x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 33 мм </w:t>
      </w:r>
      <w:r>
        <w:rPr>
          <w:rFonts w:eastAsia="等线" w:cs="Calibri" w:ascii="Calibri" w:hAnsi="Calibri" w:eastAsiaTheme="minorHAnsi"/>
          <w:sz w:val="20"/>
          <w:szCs w:val="20"/>
        </w:rPr>
        <w:t>x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 25.5 мм (2.37" </w:t>
      </w:r>
      <w:r>
        <w:rPr>
          <w:rFonts w:eastAsia="等线" w:cs="Calibri" w:ascii="Calibri" w:hAnsi="Calibri" w:eastAsiaTheme="minorHAnsi"/>
          <w:sz w:val="20"/>
          <w:szCs w:val="20"/>
        </w:rPr>
        <w:t>x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 1.30" </w:t>
      </w:r>
      <w:r>
        <w:rPr>
          <w:rFonts w:eastAsia="等线" w:cs="Calibri" w:ascii="Calibri" w:hAnsi="Calibri" w:eastAsiaTheme="minorHAnsi"/>
          <w:sz w:val="20"/>
          <w:szCs w:val="20"/>
        </w:rPr>
        <w:t>x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 1.00") (с учетом кронштейна)</w:t>
      </w:r>
    </w:p>
    <w:p>
      <w:pPr>
        <w:pStyle w:val="Normal"/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Вес: 44 г (1.55 унции) (с учетом кронштейна и крепления на голову)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sz w:val="20"/>
          <w:szCs w:val="20"/>
          <w:lang w:val="ru-RU"/>
        </w:rPr>
        <w:t>Комплектующие</w:t>
      </w:r>
    </w:p>
    <w:p>
      <w:pPr>
        <w:pStyle w:val="Normal"/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Крепление на голову, зарядный кабель USB-C</w:t>
      </w:r>
    </w:p>
    <w:p>
      <w:pPr>
        <w:pStyle w:val="Normal"/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Cs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sz w:val="20"/>
          <w:szCs w:val="20"/>
          <w:lang w:val="ru-RU"/>
        </w:rPr>
        <w:t>Технические характеристики</w:t>
      </w:r>
    </w:p>
    <w:tbl>
      <w:tblPr>
        <w:tblStyle w:val="1"/>
        <w:tblpPr w:bottomFromText="0" w:horzAnchor="margin" w:leftFromText="180" w:rightFromText="180" w:tblpX="0" w:tblpY="57" w:topFromText="0" w:vertAnchor="text"/>
        <w:tblW w:w="5000" w:type="pct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980"/>
        <w:gridCol w:w="921"/>
        <w:gridCol w:w="920"/>
        <w:gridCol w:w="852"/>
        <w:gridCol w:w="1260"/>
        <w:gridCol w:w="1368"/>
        <w:gridCol w:w="1328"/>
        <w:gridCol w:w="921"/>
        <w:gridCol w:w="915"/>
      </w:tblGrid>
      <w:tr>
        <w:trPr>
          <w:trHeight w:val="220" w:hRule="atLeast"/>
        </w:trPr>
        <w:tc>
          <w:tcPr>
            <w:tcW w:w="1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395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Белое освещение</w:t>
            </w:r>
          </w:p>
        </w:tc>
        <w:tc>
          <w:tcPr>
            <w:tcW w:w="269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Красное освещение</w:t>
            </w:r>
          </w:p>
        </w:tc>
        <w:tc>
          <w:tcPr>
            <w:tcW w:w="18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Белое освещение</w:t>
            </w:r>
          </w:p>
        </w:tc>
      </w:tr>
      <w:tr>
        <w:trPr>
          <w:trHeight w:val="220" w:hRule="atLeast"/>
        </w:trPr>
        <w:tc>
          <w:tcPr>
            <w:tcW w:w="19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ВЫСОКИЙ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СРЕДНИЙ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НИЗКИЙ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СВЕРХНИЗКИЙ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БЕСПРЕРЫВНОЕ ГОРЕНИЕ</w:t>
            </w:r>
          </w:p>
        </w:tc>
        <w:tc>
          <w:tcPr>
            <w:tcW w:w="132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МЕДЛЕННОЕ МИГАНИЕ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SOS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МАЯК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Яркость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360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170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60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6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5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132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10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360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л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юмен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 xml:space="preserve">360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люмен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Время работы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ч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3.5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ч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ч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37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ч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26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ч</w:t>
            </w:r>
          </w:p>
        </w:tc>
        <w:tc>
          <w:tcPr>
            <w:tcW w:w="132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Дальность луча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58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39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24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4.5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  <w:tc>
          <w:tcPr>
            <w:tcW w:w="132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Пиковая интенсивность луча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840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кд</w:t>
            </w:r>
          </w:p>
        </w:tc>
        <w:tc>
          <w:tcPr>
            <w:tcW w:w="9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399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кд</w:t>
            </w:r>
          </w:p>
        </w:tc>
        <w:tc>
          <w:tcPr>
            <w:tcW w:w="85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150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кд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10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кд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кд</w:t>
            </w:r>
          </w:p>
        </w:tc>
        <w:tc>
          <w:tcPr>
            <w:tcW w:w="132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─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Ударостойкость</w:t>
            </w:r>
          </w:p>
        </w:tc>
        <w:tc>
          <w:tcPr>
            <w:tcW w:w="8485" w:type="dxa"/>
            <w:gridSpan w:val="8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bookmarkStart w:id="1" w:name="_Hlk111551534"/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 xml:space="preserve"> м</w:t>
            </w:r>
          </w:p>
        </w:tc>
      </w:tr>
      <w:tr>
        <w:trPr>
          <w:trHeight w:val="220" w:hRule="atLeast"/>
        </w:trPr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  <w:lang w:val="ru-RU"/>
              </w:rPr>
            </w:pP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Водонепроницаемость</w:t>
            </w:r>
          </w:p>
        </w:tc>
        <w:tc>
          <w:tcPr>
            <w:tcW w:w="8485" w:type="dxa"/>
            <w:gridSpan w:val="8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DengXian" w:cs="Calibri"/>
              </w:rPr>
            </w:pPr>
            <w:bookmarkStart w:id="2" w:name="_Hlk111551534"/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en-US" w:eastAsia="zh-CN" w:bidi="ar-SA"/>
              </w:rPr>
              <w:t>IP66</w:t>
            </w:r>
            <w:bookmarkEnd w:id="2"/>
          </w:p>
        </w:tc>
      </w:tr>
    </w:tbl>
    <w:p>
      <w:pPr>
        <w:pStyle w:val="Normal"/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 xml:space="preserve">Примечание. 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Приведенные данные получены в лабораторных условиях с использованием встроенного литий-ионного аккумулятора (3.7 В, 500 мАч). При эксплуатации характеристики могут отличаться вследствие иных условий окружающей среды.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bCs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Зарядка</w:t>
      </w:r>
    </w:p>
    <w:p>
      <w:pPr>
        <w:pStyle w:val="Normal"/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3916045</wp:posOffset>
            </wp:positionH>
            <wp:positionV relativeFrom="paragraph">
              <wp:posOffset>22860</wp:posOffset>
            </wp:positionV>
            <wp:extent cx="2727325" cy="1419225"/>
            <wp:effectExtent l="0" t="0" r="0" b="0"/>
            <wp:wrapSquare wrapText="bothSides"/>
            <wp:docPr id="2" name="图片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cs="Calibri" w:ascii="Calibri" w:hAnsi="Calibri" w:eastAsiaTheme="minorHAnsi"/>
          <w:bCs/>
          <w:sz w:val="20"/>
          <w:szCs w:val="20"/>
        </w:rPr>
        <w:t>NU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21 оснащен интеллектуальной схемой зарядки. Пожалуйста, не забудьте зарядить аккумулятор перед эксплуатацией впервые.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 xml:space="preserve">Подключение к источнику питания: 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откройте порт зарядки,</w:t>
      </w:r>
      <w:r>
        <w:rPr>
          <w:rFonts w:cs="Calibri" w:ascii="Calibri" w:hAnsi="Calibri"/>
          <w:sz w:val="20"/>
          <w:szCs w:val="20"/>
          <w:lang w:val="ru-RU"/>
        </w:rPr>
        <w:t xml:space="preserve"> 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 xml:space="preserve">как это показано на иллюстрации, чтобы подсоединить </w:t>
      </w:r>
      <w:r>
        <w:rPr>
          <w:rFonts w:eastAsia="等线" w:cs="Calibri" w:ascii="Calibri" w:hAnsi="Calibri" w:eastAsiaTheme="minorHAnsi"/>
          <w:bCs/>
          <w:sz w:val="20"/>
          <w:szCs w:val="20"/>
        </w:rPr>
        <w:t>USB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 xml:space="preserve">-кабель и посредством него подключить устройство к внешнему источнику питания и начать зарядку. 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 xml:space="preserve">Определение уровня заряда: 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во время зарядки 4 верхних индикатора питания будут мигать, сообщая таким образом пользователю текущий уровень заряда. Когда аккумулятор полностью зарядится, 4 индикатора питания начнут гореть</w:t>
      </w:r>
      <w:r>
        <w:rPr>
          <w:rFonts w:cs="Calibri" w:ascii="Calibri" w:hAnsi="Calibri"/>
          <w:sz w:val="20"/>
          <w:szCs w:val="20"/>
          <w:lang w:val="ru-RU"/>
        </w:rPr>
        <w:t xml:space="preserve"> 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беспрерывно. Время зарядки составляет приблизительно 1.5 часа (при зарядке посредством адаптера 5 В / 0.5 А). При полном заряде время работы в режиме ожидания составляет приблизительно 12 месяцев.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bCs/>
          <w:sz w:val="20"/>
          <w:szCs w:val="20"/>
          <w:lang w:val="ru-RU"/>
        </w:rPr>
        <w:drawing>
          <wp:anchor behindDoc="0" distT="0" distB="0" distL="11430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667000" cy="1358900"/>
            <wp:effectExtent l="0" t="0" r="0" b="0"/>
            <wp:wrapSquare wrapText="bothSides"/>
            <wp:docPr id="3" name="Рисунок 8" descr="C:\Users\НР\Desktop\2\AbId78I-xiUMqpp59GV1n_XjECS5pOJLFIRS4rx0DRez0bv3Lqnm81jAowJ2Oq_9XyQexwNPUnQxU48OPkqFRp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C:\Users\НР\Desktop\2\AbId78I-xiUMqpp59GV1n_XjECS5pOJLFIRS4rx0DRez0bv3Lqnm81jAowJ2Oq_9XyQexwNPUnQxU48OPkqFRpa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Кнопка питания / кнопка режима</w:t>
      </w:r>
    </w:p>
    <w:p>
      <w:pPr>
        <w:pStyle w:val="ListParagraph"/>
        <w:numPr>
          <w:ilvl w:val="0"/>
          <w:numId w:val="2"/>
        </w:numPr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Кнопка питания используется для включения / выключения фонаря и регулирования уровня яркости.</w:t>
      </w:r>
    </w:p>
    <w:p>
      <w:pPr>
        <w:pStyle w:val="ListParagraph"/>
        <w:numPr>
          <w:ilvl w:val="0"/>
          <w:numId w:val="2"/>
        </w:numPr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Кнопка режима (</w:t>
      </w:r>
      <w:r>
        <w:rPr>
          <w:rFonts w:eastAsia="等线" w:cs="Calibri" w:ascii="Calibri" w:hAnsi="Calibri" w:eastAsiaTheme="minorHAnsi"/>
          <w:bCs/>
          <w:sz w:val="20"/>
          <w:szCs w:val="20"/>
        </w:rPr>
        <w:t>MODE</w:t>
      </w: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) предназначена для переключения между источниками света.</w:t>
      </w:r>
      <w:r>
        <w:rPr>
          <w:rFonts w:cs="Calibri" w:ascii="Calibri" w:hAnsi="Calibri"/>
          <w:b/>
          <w:bCs/>
          <w:sz w:val="20"/>
          <w:szCs w:val="20"/>
          <w:lang w:val="ru-RU" w:eastAsia="ru-RU"/>
        </w:rPr>
        <w:t xml:space="preserve"> 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bCs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Включение / выключение</w:t>
      </w:r>
    </w:p>
    <w:p>
      <w:pPr>
        <w:pStyle w:val="ListParagraph"/>
        <w:numPr>
          <w:ilvl w:val="0"/>
          <w:numId w:val="4"/>
        </w:numPr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Если устройство находится в выключенном состоянии, зажмите и удерживайте кнопку питания в течение 1 секунды, чтобы активировать фонарь в режиме 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等线" w:cs="Calibri" w:eastAsiaTheme="minorHAnsi"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Если устройство находится во включенном состоянии, зажмите и удерживайте кнопку питания или кнопку режима (MODE) в течение 1 секунды, чтобы выключить фонарь.</w:t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Белое освещение</w:t>
      </w:r>
    </w:p>
    <w:p>
      <w:pPr>
        <w:pStyle w:val="ListParagraph"/>
        <w:numPr>
          <w:ilvl w:val="0"/>
          <w:numId w:val="3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Если устройство находится в выключенном состоянии, зажмите и удерживайте кнопку питания в течение 1 секунды, чтобы активировать фонарь в режиме 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Если устройство находится в выключенном состоянии, дважды нажмите на кнопку питания, чтобы активировать фонарь в режиме СВЕРХНИЗКОГО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Когда устройство находится во включенном состоянии, кратковременно нажимайте на кнопку питания, чтобы переключаться между следующими уровнями яркости: НИЗКИЙ — СРЕДНИЙ — ВЫСОКИЙ.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Примечание. При слишком длительной эксплуатации фонаря на ВЫСОКОМ уровне яркости устройство будет автоматически понижать яркость во избежание перегрева, а также для продления срока службы аккумулятора.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bCs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Красное освещение</w:t>
      </w:r>
    </w:p>
    <w:p>
      <w:pPr>
        <w:pStyle w:val="ListParagraph"/>
        <w:numPr>
          <w:ilvl w:val="0"/>
          <w:numId w:val="5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Если устройство находится в выключенном состоянии, зажмите и удерживайте кнопку режима в течение 1 секунды, чтобы активировать красное освещение.</w:t>
      </w:r>
    </w:p>
    <w:p>
      <w:pPr>
        <w:pStyle w:val="ListParagraph"/>
        <w:numPr>
          <w:ilvl w:val="0"/>
          <w:numId w:val="5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Когда красное освещение активировано, нажимайте на кнопку питания, чтобы переключаться между БЕСПРЕРЫВНЫМ ГОРЕНИЕМ и МЕДЛЕННЫМ МИГАНИЕМ.</w:t>
      </w:r>
    </w:p>
    <w:p>
      <w:pPr>
        <w:pStyle w:val="Normal"/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/>
          <w:bCs/>
          <w:sz w:val="20"/>
          <w:szCs w:val="20"/>
          <w:lang w:val="ru-RU"/>
        </w:rPr>
        <w:t>Переключение между источниками света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bCs/>
          <w:sz w:val="20"/>
          <w:szCs w:val="20"/>
          <w:lang w:val="ru-RU"/>
        </w:rPr>
        <w:t>Когда устройство находится во включенном состоянии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>, нажимайте на кнопку режима, чтобы переключаться между белым и красным освещением.</w:t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sz w:val="20"/>
          <w:szCs w:val="20"/>
          <w:lang w:val="ru-RU"/>
        </w:rPr>
      </w:r>
    </w:p>
    <w:p>
      <w:pPr>
        <w:pStyle w:val="Normal"/>
        <w:rPr>
          <w:rFonts w:ascii="Calibri" w:hAnsi="Calibri" w:eastAsia="等线" w:cs="Calibri" w:eastAsiaTheme="minorHAnsi"/>
          <w:b/>
          <w:sz w:val="20"/>
          <w:szCs w:val="20"/>
        </w:rPr>
      </w:pPr>
      <w:r>
        <w:rPr>
          <w:rFonts w:eastAsia="等线" w:cs="Calibri" w:ascii="Calibri" w:hAnsi="Calibri" w:eastAsiaTheme="minorHAnsi"/>
          <w:b/>
          <w:sz w:val="20"/>
          <w:szCs w:val="20"/>
          <w:lang w:val="ru-RU"/>
        </w:rPr>
        <w:t xml:space="preserve">Специальные режимы </w:t>
      </w:r>
      <w:r>
        <w:rPr>
          <w:rFonts w:eastAsia="等线" w:cs="Calibri" w:ascii="Calibri" w:hAnsi="Calibri" w:eastAsiaTheme="minorHAnsi"/>
          <w:b/>
          <w:sz w:val="20"/>
          <w:szCs w:val="20"/>
        </w:rPr>
        <w:t xml:space="preserve">(SOS / </w:t>
      </w:r>
      <w:r>
        <w:rPr>
          <w:rFonts w:eastAsia="等线" w:cs="Calibri" w:ascii="Calibri" w:hAnsi="Calibri" w:eastAsiaTheme="minorHAnsi"/>
          <w:b/>
          <w:sz w:val="20"/>
          <w:szCs w:val="20"/>
          <w:lang w:val="ru-RU"/>
        </w:rPr>
        <w:t>МАЯК</w:t>
      </w:r>
      <w:r>
        <w:rPr>
          <w:rFonts w:eastAsia="等线" w:cs="Calibri" w:ascii="Calibri" w:hAnsi="Calibri" w:eastAsiaTheme="minorHAnsi"/>
          <w:b/>
          <w:sz w:val="20"/>
          <w:szCs w:val="20"/>
        </w:rPr>
        <w:t>)</w:t>
      </w:r>
    </w:p>
    <w:p>
      <w:pPr>
        <w:pStyle w:val="ListParagraph"/>
        <w:numPr>
          <w:ilvl w:val="0"/>
          <w:numId w:val="8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bookmarkStart w:id="3" w:name="OLE_LINK3"/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При нахождении устройства в любом из режимов дважды нажмите на кнопку режима, чтобы перевести его в режим </w:t>
      </w:r>
      <w:r>
        <w:rPr>
          <w:rFonts w:eastAsia="等线" w:cs="Calibri" w:ascii="Calibri" w:hAnsi="Calibri" w:eastAsiaTheme="minorHAnsi"/>
          <w:sz w:val="20"/>
          <w:szCs w:val="20"/>
        </w:rPr>
        <w:t>SOS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>.</w:t>
      </w:r>
      <w:bookmarkEnd w:id="3"/>
    </w:p>
    <w:p>
      <w:pPr>
        <w:pStyle w:val="ListParagraph"/>
        <w:numPr>
          <w:ilvl w:val="0"/>
          <w:numId w:val="8"/>
        </w:numPr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При нахождении устройства в любом из специальных режимов кратковременно нажимайте на кнопку питания, чтобы переключаться между режимами </w:t>
      </w:r>
      <w:r>
        <w:rPr>
          <w:rFonts w:eastAsia="等线" w:cs="Calibri" w:ascii="Calibri" w:hAnsi="Calibri" w:eastAsiaTheme="minorHAnsi"/>
          <w:sz w:val="20"/>
          <w:szCs w:val="20"/>
        </w:rPr>
        <w:t>SOS</w:t>
      </w:r>
      <w:r>
        <w:rPr>
          <w:rFonts w:eastAsia="等线" w:cs="Calibri" w:ascii="Calibri" w:hAnsi="Calibri" w:eastAsiaTheme="minorHAnsi"/>
          <w:sz w:val="20"/>
          <w:szCs w:val="20"/>
          <w:lang w:val="ru-RU"/>
        </w:rPr>
        <w:t xml:space="preserve"> и МАЯК. Дважды нажмите на кнопку режима еще раз, чтобы вернуть устройство к предыдущему состоянию.</w:t>
      </w:r>
    </w:p>
    <w:p>
      <w:pPr>
        <w:pStyle w:val="Normal"/>
        <w:rPr>
          <w:rFonts w:ascii="Calibri" w:hAnsi="Calibri" w:eastAsia="等线" w:cs="Calibri" w:eastAsiaTheme="minorHAnsi"/>
          <w:b/>
          <w:bCs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b/>
          <w:bCs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bCs/>
          <w:sz w:val="20"/>
          <w:szCs w:val="20"/>
          <w:lang w:val="ru-RU"/>
        </w:rPr>
      </w:pPr>
      <w:r>
        <w:rPr>
          <w:rFonts w:cs="Calibri" w:ascii="Calibri" w:hAnsi="Calibri"/>
          <w:b/>
          <w:bCs/>
          <w:sz w:val="20"/>
          <w:szCs w:val="20"/>
          <w:lang w:val="ru-RU"/>
        </w:rPr>
        <w:t>Режим блокировки</w:t>
      </w:r>
      <w:r>
        <w:rPr>
          <w:rFonts w:cs="Calibri" w:ascii="Calibri" w:hAnsi="Calibri"/>
          <w:b/>
          <w:bCs/>
          <w:sz w:val="20"/>
          <w:szCs w:val="20"/>
        </w:rPr>
        <w:t xml:space="preserve"> / </w:t>
      </w:r>
      <w:r>
        <w:rPr>
          <w:rFonts w:cs="Calibri" w:ascii="Calibri" w:hAnsi="Calibri"/>
          <w:b/>
          <w:bCs/>
          <w:sz w:val="20"/>
          <w:szCs w:val="20"/>
          <w:lang w:val="ru-RU"/>
        </w:rPr>
        <w:t>разблокировки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 xml:space="preserve">Когда устройство находится в выключенном состоянии, зажмите и удерживайте обе кнопки в течение 2 секунд, пока фонарь не мигнет 3 раза, что будет означать его переход в режим блокировки. В режиме блокировки никакие уровни яркости, а также режимы недоступны, и при нажатии на любую из кнопок фонарь будет однократно мигать, сообщая таким образом о нахождении в данном режиме. 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 xml:space="preserve">При нахождении устройства в режиме блокировки снова зажмите и удерживайте обе кнопки в течение 2 секунд, после чего устройство перейдет в режим СВЕРХНИЗКОГО уровня яркости, что будет означать выход из режима блокировки. 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b/>
          <w:bCs/>
          <w:sz w:val="20"/>
          <w:szCs w:val="20"/>
          <w:lang w:val="ru-RU"/>
        </w:rPr>
        <w:t>Примечание</w:t>
      </w:r>
      <w:bookmarkStart w:id="4" w:name="OLE_LINK2"/>
      <w:r>
        <w:rPr>
          <w:rFonts w:cs="Calibri" w:ascii="Calibri" w:hAnsi="Calibri"/>
          <w:b/>
          <w:bCs/>
          <w:sz w:val="20"/>
          <w:szCs w:val="20"/>
          <w:lang w:val="ru-RU"/>
        </w:rPr>
        <w:t xml:space="preserve">. Если </w:t>
      </w:r>
      <w:r>
        <w:rPr>
          <w:rFonts w:cs="Calibri" w:ascii="Calibri" w:hAnsi="Calibri"/>
          <w:b/>
          <w:bCs/>
          <w:sz w:val="20"/>
          <w:szCs w:val="20"/>
        </w:rPr>
        <w:t>NU</w:t>
      </w:r>
      <w:bookmarkEnd w:id="4"/>
      <w:r>
        <w:rPr>
          <w:rFonts w:cs="Calibri" w:ascii="Calibri" w:hAnsi="Calibri"/>
          <w:b/>
          <w:bCs/>
          <w:sz w:val="20"/>
          <w:szCs w:val="20"/>
          <w:lang w:val="ru-RU"/>
        </w:rPr>
        <w:t>21 подключить к источнику питания, он автоматически выйдет из режима блокировки.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  <w:t>Сообщение уровня заряда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 xml:space="preserve">Когда устройство находится в выключенном состоянии, нажмите на кнопку режима, после чего по очереди загорятся и через две секунды погаснут находящиеся рядом индикаторы питания. 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b/>
          <w:bCs/>
          <w:sz w:val="20"/>
          <w:szCs w:val="20"/>
          <w:lang w:val="ru-RU"/>
        </w:rPr>
        <w:t xml:space="preserve">Примечание. </w:t>
      </w:r>
      <w:r>
        <w:rPr>
          <w:rFonts w:cs="Calibri" w:ascii="Calibri" w:hAnsi="Calibri"/>
          <w:sz w:val="20"/>
          <w:szCs w:val="20"/>
          <w:lang w:val="ru-RU"/>
        </w:rPr>
        <w:t>Аккумулятор необходимо подключать к источнику питания, как только освещение начинает казаться тусклым или устройство перестает отвечать на команды вследствие низкого уровня заряда.</w:t>
      </w:r>
    </w:p>
    <w:tbl>
      <w:tblPr>
        <w:tblStyle w:val="a8"/>
        <w:tblpPr w:vertAnchor="text" w:horzAnchor="page" w:leftFromText="180" w:rightFromText="180" w:tblpX="1055" w:tblpY="130"/>
        <w:tblW w:w="694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3968"/>
      </w:tblGrid>
      <w:tr>
        <w:trPr>
          <w:trHeight w:val="364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等线" w:cs="Calibri" w:ascii="Calibri" w:hAnsi="Calibri"/>
                <w:b/>
                <w:bCs/>
                <w:kern w:val="2"/>
                <w:sz w:val="20"/>
                <w:szCs w:val="20"/>
                <w:lang w:val="ru-RU" w:eastAsia="zh-CN" w:bidi="ar-SA"/>
              </w:rPr>
              <w:t>Состояние индикаторов</w:t>
            </w:r>
          </w:p>
        </w:tc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eastAsia="DengXian" w:cs="Calibri" w:ascii="Calibri" w:hAnsi="Calibri"/>
                <w:b/>
                <w:bCs/>
                <w:kern w:val="2"/>
                <w:sz w:val="20"/>
                <w:szCs w:val="20"/>
                <w:lang w:val="ru-RU" w:eastAsia="zh-CN" w:bidi="ar-SA"/>
              </w:rPr>
              <w:t>Уровень заряда</w:t>
            </w:r>
          </w:p>
        </w:tc>
      </w:tr>
      <w:tr>
        <w:trPr>
          <w:trHeight w:val="357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 xml:space="preserve">4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>беспрерывно горят</w:t>
            </w:r>
          </w:p>
        </w:tc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>Прибл.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 xml:space="preserve"> 100%</w:t>
            </w:r>
          </w:p>
        </w:tc>
      </w:tr>
      <w:tr>
        <w:trPr>
          <w:trHeight w:val="364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3 беспрерывно горят</w:t>
            </w:r>
          </w:p>
        </w:tc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 xml:space="preserve">Прибл.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75%</w:t>
            </w:r>
          </w:p>
        </w:tc>
      </w:tr>
      <w:tr>
        <w:trPr>
          <w:trHeight w:val="364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eastAsia="等线" w:cs="Calibri" w:ascii="Calibri" w:hAnsi="Calibri"/>
                <w:kern w:val="2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беспрерывно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горят</w:t>
            </w:r>
          </w:p>
        </w:tc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 xml:space="preserve">Прибл.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>50%</w:t>
            </w:r>
          </w:p>
        </w:tc>
      </w:tr>
      <w:tr>
        <w:trPr>
          <w:trHeight w:val="357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en-US" w:eastAsia="zh-CN" w:bidi="ar-SA"/>
              </w:rPr>
              <w:t xml:space="preserve">1 </w:t>
            </w: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>беспрерывно горит</w:t>
            </w:r>
          </w:p>
        </w:tc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eastAsia="DengXian" w:cs="Calibri" w:ascii="Calibri" w:hAnsi="Calibri"/>
                <w:kern w:val="2"/>
                <w:sz w:val="20"/>
                <w:szCs w:val="20"/>
                <w:lang w:val="ru-RU" w:eastAsia="zh-CN" w:bidi="ar-SA"/>
              </w:rPr>
              <w:t xml:space="preserve">Примерно 25% </w:t>
            </w:r>
            <w:r>
              <w:rPr>
                <w:rFonts w:eastAsia="DengXian" w:cs="Calibri" w:ascii="Calibri" w:hAnsi="Calibri"/>
                <w:kern w:val="0"/>
                <w:sz w:val="20"/>
                <w:szCs w:val="20"/>
                <w:lang w:val="ru-RU" w:eastAsia="zh-CN" w:bidi="ar-SA"/>
              </w:rPr>
              <w:t>(Пожалуйста, подключите устройство к источнику питания как можно скорее)</w:t>
            </w:r>
          </w:p>
        </w:tc>
      </w:tr>
    </w:tbl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  <w:t>Меры предосторожности</w:t>
      </w:r>
    </w:p>
    <w:p>
      <w:pPr>
        <w:pStyle w:val="ListParagraph"/>
        <w:numPr>
          <w:ilvl w:val="0"/>
          <w:numId w:val="1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Внимание! Возможно опасное излучение! Ни в коем случае не направляйте луч света в глаза, поскольку это может нанести им существенный вред.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Пожалуйста, не забывайте заряжать устройство каждые 6 месяцев, если не используете его в течение длительного времени.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При хранении / переноске устройства в рюкзаке, пожалуйста, заранее переводите его в режим блокировки во избежание случайной активации.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НЕ разбирайте устройство и НЕ вносите никаких изменений в его конструкцию, поскольку это может привести к его повреждению и аннулированию гарантии. Для получения более подробной информации о гарантии, пожалуйста, обратитесь к разделу гарантийного обслуживания текущего руководства.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ascii="Calibri" w:hAnsi="Calibri" w:eastAsiaTheme="minorHAnsi"/>
          <w:sz w:val="20"/>
          <w:szCs w:val="20"/>
          <w:lang w:val="ru-RU"/>
        </w:rPr>
        <w:t>Утилизируйте устройство / элементы питания в соответствии с действующим местным законодательством и установленными правилами.</w:t>
      </w:r>
    </w:p>
    <w:p>
      <w:pPr>
        <w:pStyle w:val="Normal"/>
        <w:rPr>
          <w:rFonts w:ascii="Calibri" w:hAnsi="Calibri" w:eastAsia="等线" w:cs="Calibri" w:eastAsiaTheme="minorHAnsi"/>
          <w:sz w:val="20"/>
          <w:szCs w:val="20"/>
          <w:lang w:val="ru-RU"/>
        </w:rPr>
      </w:pPr>
      <w:r>
        <w:rPr>
          <w:rFonts w:eastAsia="等线" w:cs="Calibri" w:eastAsiaTheme="minorHAnsi" w:ascii="Calibri" w:hAnsi="Calibri"/>
          <w:sz w:val="20"/>
          <w:szCs w:val="20"/>
          <w:lang w:val="ru-RU"/>
        </w:rPr>
      </w:r>
    </w:p>
    <w:p>
      <w:pPr>
        <w:pStyle w:val="Normal"/>
        <w:rPr>
          <w:rFonts w:ascii="Calibri" w:hAnsi="Calibri" w:cs="Calibri"/>
          <w:b/>
          <w:sz w:val="20"/>
          <w:szCs w:val="20"/>
          <w:lang w:val="ru-RU"/>
        </w:rPr>
      </w:pPr>
      <w:r>
        <w:rPr>
          <w:rFonts w:cs="Calibri" w:ascii="Calibri" w:hAnsi="Calibri"/>
          <w:b/>
          <w:sz w:val="20"/>
          <w:szCs w:val="20"/>
          <w:lang w:val="ru-RU"/>
        </w:rPr>
        <w:t>Гарантийное обслуживание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Вся продукция компании NITECORE® обладает гарантией. Любое неработающее / бракованное устройство может быть заменено у местного дистрибьютора / дилера в течение 15 дней после приобретения. По прошествии 15 дней любое неработающее / бракованное устройство NITECORE® можно бесплатно отремонтировать в течение 24 месяцев с даты покупки. По окончании 24 месяцев в силу</w:t>
      </w:r>
      <w:r>
        <w:rPr>
          <w:lang w:val="ru-RU"/>
        </w:rPr>
        <w:t xml:space="preserve"> </w:t>
      </w:r>
      <w:r>
        <w:rPr>
          <w:rFonts w:cs="Calibri" w:ascii="Calibri" w:hAnsi="Calibri"/>
          <w:sz w:val="20"/>
          <w:szCs w:val="20"/>
          <w:lang w:val="ru-RU"/>
        </w:rPr>
        <w:t>вступает ограниченная гарантия, покрывающая стоимость работы и технического обслуживания, но не стоимость запасных частей и комплектующих.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Гарантия будет аннулирована, если: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1. продукция сломана либо в ее конструкцию внесены изменения лицами, не имеющими на то соответствующих полномочий;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2. продукция повреждена в результате неправильной эксплуатации.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cs="Calibri" w:ascii="Calibri" w:hAnsi="Calibri"/>
          <w:sz w:val="20"/>
          <w:szCs w:val="20"/>
          <w:lang w:val="ru-RU"/>
        </w:rPr>
        <w:t>Для получения последней информации о продукции NITECORE® обращайтесь к местному дистрибьютору либо пишите на service@nitecore.com.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>
          <w:rFonts w:eastAsia="MS Gothic" w:cs="MS Gothic" w:ascii="MS Gothic" w:hAnsi="MS Gothic"/>
          <w:sz w:val="20"/>
          <w:szCs w:val="20"/>
          <w:lang w:val="ru-RU"/>
        </w:rPr>
        <w:t>※</w:t>
      </w:r>
      <w:r>
        <w:rPr>
          <w:rFonts w:cs="Calibri" w:ascii="Calibri" w:hAnsi="Calibri"/>
          <w:sz w:val="20"/>
          <w:szCs w:val="20"/>
          <w:lang w:val="ru-RU"/>
        </w:rPr>
        <w:t>Все изображения, тексты и заявления, содержащиеся в настоящем руководстве, приведены исключительно в справочных целях. В случае возникновения каких-либо расхождений между данным руководством и информацией, указанной на сайте www.nitecore.com, компания Sysmax Innovations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p>
      <w:pPr>
        <w:pStyle w:val="Normal"/>
        <w:rPr>
          <w:rFonts w:ascii="Calibri" w:hAnsi="Calibri" w:cs="Calibri"/>
          <w:sz w:val="20"/>
          <w:szCs w:val="20"/>
          <w:lang w:val="ru-RU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MS Gothic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500" w:hanging="420"/>
      </w:pPr>
      <w:rPr>
        <w:rFonts w:ascii="Times New Roman" w:hAnsi="Times New Roman" w:cs="Times New Roman" w:hint="default"/>
        <w:rFonts w:eastAsiaTheme="minorEastAs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0dcb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00c95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b00c95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b00c95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b00c95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a0dcb"/>
    <w:pPr>
      <w:ind w:firstLine="4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qFormat/>
    <w:rsid w:val="00c35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qFormat/>
    <w:rsid w:val="00414cf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Application>LibreOffice/7.5.2.2$Windows_X86_64 LibreOffice_project/53bb9681a964705cf672590721dbc85eb4d0c3a2</Application>
  <AppVersion>15.0000</AppVersion>
  <Pages>5</Pages>
  <Words>1135</Words>
  <Characters>7159</Characters>
  <CharactersWithSpaces>8144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2022-08-30T09:38:00Z</dcterms:created>
  <dc:creator>尤 加宜</dc:creator>
  <dc:description/>
  <dc:language>ru-RU</dc:language>
  <cp:lastModifiedBy>Эрнест Гейвандов</cp:lastModifiedBy>
  <dcterms:modified xsi:type="dcterms:W3CDTF">2023-04-19T16:50:00Z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