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9A6D" w14:textId="77777777" w:rsidR="00CA23C9" w:rsidRPr="003F0A18" w:rsidRDefault="003F0A18">
      <w:pPr>
        <w:rPr>
          <w:rFonts w:ascii="Arial" w:eastAsia="Calibri" w:hAnsi="Arial" w:cs="Arial"/>
          <w:b/>
          <w:bCs/>
          <w:sz w:val="20"/>
          <w:szCs w:val="20"/>
        </w:rPr>
      </w:pPr>
      <w:proofErr w:type="spellStart"/>
      <w:r w:rsidRPr="003F0A18">
        <w:rPr>
          <w:rFonts w:ascii="Arial" w:hAnsi="Arial" w:cs="Arial"/>
          <w:b/>
          <w:bCs/>
          <w:sz w:val="20"/>
          <w:szCs w:val="20"/>
        </w:rPr>
        <w:t>Руководство</w:t>
      </w:r>
      <w:proofErr w:type="spellEnd"/>
      <w:r w:rsidRPr="003F0A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b/>
          <w:bCs/>
          <w:sz w:val="20"/>
          <w:szCs w:val="20"/>
        </w:rPr>
        <w:t>пользователя</w:t>
      </w:r>
      <w:proofErr w:type="spellEnd"/>
      <w:r w:rsidRPr="003F0A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0A18">
        <w:rPr>
          <w:rFonts w:ascii="Arial" w:hAnsi="Arial" w:cs="Arial"/>
          <w:b/>
          <w:bCs/>
          <w:sz w:val="20"/>
          <w:szCs w:val="20"/>
        </w:rPr>
        <w:t>NU11</w:t>
      </w:r>
    </w:p>
    <w:p w14:paraId="0A6F4089" w14:textId="77777777" w:rsidR="00CA23C9" w:rsidRPr="003F0A18" w:rsidRDefault="00CA23C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90B81D6" w14:textId="77777777" w:rsidR="00CA23C9" w:rsidRPr="003F0A18" w:rsidRDefault="003F0A18">
      <w:pPr>
        <w:rPr>
          <w:rFonts w:ascii="Arial" w:eastAsia="Calibri" w:hAnsi="Arial" w:cs="Arial"/>
          <w:b/>
          <w:bCs/>
          <w:sz w:val="20"/>
          <w:szCs w:val="20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Об устройстве</w:t>
      </w:r>
    </w:p>
    <w:p w14:paraId="7980E62D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Мощность до</w:t>
      </w:r>
      <w:r w:rsidRPr="003F0A18">
        <w:rPr>
          <w:rFonts w:ascii="Arial" w:hAnsi="Arial" w:cs="Arial"/>
          <w:sz w:val="20"/>
          <w:szCs w:val="20"/>
        </w:rPr>
        <w:t xml:space="preserve"> 150 </w:t>
      </w:r>
      <w:proofErr w:type="spellStart"/>
      <w:r w:rsidRPr="003F0A18">
        <w:rPr>
          <w:rFonts w:ascii="Arial" w:hAnsi="Arial" w:cs="Arial"/>
          <w:sz w:val="20"/>
          <w:szCs w:val="20"/>
        </w:rPr>
        <w:t>люмен</w:t>
      </w:r>
      <w:proofErr w:type="spellEnd"/>
    </w:p>
    <w:p w14:paraId="610B3AB7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Красный свет</w:t>
      </w:r>
      <w:r w:rsidRPr="003F0A18">
        <w:rPr>
          <w:rFonts w:ascii="Arial" w:hAnsi="Arial" w:cs="Arial"/>
          <w:sz w:val="20"/>
          <w:szCs w:val="20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обеспечивающий</w:t>
      </w:r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ночно</w:t>
      </w:r>
      <w:proofErr w:type="spellEnd"/>
      <w:r w:rsidRPr="003F0A18">
        <w:rPr>
          <w:rFonts w:ascii="Arial" w:hAnsi="Arial" w:cs="Arial"/>
          <w:sz w:val="20"/>
          <w:szCs w:val="20"/>
          <w:lang w:val="ru-RU"/>
        </w:rPr>
        <w:t>е</w:t>
      </w:r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видени</w:t>
      </w:r>
      <w:proofErr w:type="spellEnd"/>
      <w:r w:rsidRPr="003F0A18">
        <w:rPr>
          <w:rFonts w:ascii="Arial" w:hAnsi="Arial" w:cs="Arial"/>
          <w:sz w:val="20"/>
          <w:szCs w:val="20"/>
          <w:lang w:val="ru-RU"/>
        </w:rPr>
        <w:t>е</w:t>
      </w:r>
    </w:p>
    <w:p w14:paraId="06D86DC1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Умный</w:t>
      </w:r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инфракрасн</w:t>
      </w:r>
      <w:r w:rsidRPr="003F0A18">
        <w:rPr>
          <w:rFonts w:ascii="Arial" w:hAnsi="Arial" w:cs="Arial"/>
          <w:sz w:val="20"/>
          <w:szCs w:val="20"/>
          <w:lang w:val="ru-RU"/>
        </w:rPr>
        <w:t>ый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датчик</w:t>
      </w:r>
      <w:proofErr w:type="spellEnd"/>
    </w:p>
    <w:p w14:paraId="37F72E79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Встроенный литий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ионный аккумулятор емкостью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600 </w:t>
      </w:r>
      <w:r w:rsidRPr="003F0A18">
        <w:rPr>
          <w:rFonts w:ascii="Arial" w:hAnsi="Arial" w:cs="Arial"/>
          <w:sz w:val="20"/>
          <w:szCs w:val="20"/>
          <w:lang w:val="ru-RU"/>
        </w:rPr>
        <w:t>мАч</w:t>
      </w:r>
    </w:p>
    <w:p w14:paraId="20BEBBFD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Встроенная интеллектуальная схема зарядки литий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ионного аккумулятора с зарядным портом </w:t>
      </w:r>
      <w:r w:rsidRPr="003F0A18">
        <w:rPr>
          <w:rFonts w:ascii="Arial" w:hAnsi="Arial" w:cs="Arial"/>
          <w:sz w:val="20"/>
          <w:szCs w:val="20"/>
        </w:rPr>
        <w:t>USB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</w:rPr>
        <w:t>C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(5 </w:t>
      </w:r>
      <w:r w:rsidRPr="003F0A18">
        <w:rPr>
          <w:rFonts w:ascii="Arial" w:hAnsi="Arial" w:cs="Arial"/>
          <w:sz w:val="20"/>
          <w:szCs w:val="20"/>
          <w:lang w:val="ru-RU"/>
        </w:rPr>
        <w:t>В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</w:t>
      </w:r>
      <w:r w:rsidRPr="003F0A18">
        <w:rPr>
          <w:rFonts w:ascii="Cambria Math" w:eastAsia="Arial Unicode MS" w:hAnsi="Cambria Math" w:cs="Cambria Math"/>
          <w:sz w:val="20"/>
          <w:szCs w:val="20"/>
          <w:lang w:val="ru-RU"/>
        </w:rPr>
        <w:t>⎓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1 </w:t>
      </w:r>
      <w:r w:rsidRPr="003F0A18">
        <w:rPr>
          <w:rFonts w:ascii="Arial" w:hAnsi="Arial" w:cs="Arial"/>
          <w:sz w:val="20"/>
          <w:szCs w:val="20"/>
          <w:lang w:val="ru-RU"/>
        </w:rPr>
        <w:t>А</w:t>
      </w:r>
      <w:r w:rsidRPr="003F0A18">
        <w:rPr>
          <w:rFonts w:ascii="Arial" w:hAnsi="Arial" w:cs="Arial"/>
          <w:sz w:val="20"/>
          <w:szCs w:val="20"/>
          <w:lang w:val="ru-RU"/>
        </w:rPr>
        <w:t>)</w:t>
      </w:r>
    </w:p>
    <w:p w14:paraId="503E9F31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2 </w:t>
      </w:r>
      <w:r w:rsidRPr="003F0A18">
        <w:rPr>
          <w:rFonts w:ascii="Arial" w:hAnsi="Arial" w:cs="Arial"/>
          <w:sz w:val="20"/>
          <w:szCs w:val="20"/>
          <w:lang w:val="ru-RU"/>
        </w:rPr>
        <w:t>уровня яркости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2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источника света и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1 </w:t>
      </w:r>
      <w:r w:rsidRPr="003F0A18">
        <w:rPr>
          <w:rFonts w:ascii="Arial" w:hAnsi="Arial" w:cs="Arial"/>
          <w:sz w:val="20"/>
          <w:szCs w:val="20"/>
          <w:lang w:val="ru-RU"/>
        </w:rPr>
        <w:t>специальный режим</w:t>
      </w:r>
    </w:p>
    <w:p w14:paraId="0D6E032E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Разработан с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4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индикаторами питания для </w:t>
      </w:r>
      <w:r w:rsidRPr="003F0A18">
        <w:rPr>
          <w:rFonts w:ascii="Arial" w:hAnsi="Arial" w:cs="Arial"/>
          <w:sz w:val="20"/>
          <w:szCs w:val="20"/>
          <w:lang w:val="ru-RU"/>
        </w:rPr>
        <w:t>сообщения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оставше</w:t>
      </w:r>
      <w:r w:rsidRPr="003F0A18">
        <w:rPr>
          <w:rFonts w:ascii="Arial" w:hAnsi="Arial" w:cs="Arial"/>
          <w:sz w:val="20"/>
          <w:szCs w:val="20"/>
          <w:lang w:val="ru-RU"/>
        </w:rPr>
        <w:t>гося уровня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заряд</w:t>
      </w:r>
      <w:r w:rsidRPr="003F0A18">
        <w:rPr>
          <w:rFonts w:ascii="Arial" w:hAnsi="Arial" w:cs="Arial"/>
          <w:sz w:val="20"/>
          <w:szCs w:val="20"/>
          <w:lang w:val="ru-RU"/>
        </w:rPr>
        <w:t>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lang w:val="ru-RU"/>
        </w:rPr>
        <w:t>аккумулятора</w:t>
      </w:r>
    </w:p>
    <w:p w14:paraId="507CB029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F0A18">
        <w:rPr>
          <w:rFonts w:ascii="Arial" w:hAnsi="Arial" w:cs="Arial"/>
          <w:sz w:val="20"/>
          <w:szCs w:val="20"/>
        </w:rPr>
        <w:t>Изготовлен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из </w:t>
      </w:r>
      <w:proofErr w:type="spellStart"/>
      <w:r w:rsidRPr="003F0A18">
        <w:rPr>
          <w:rFonts w:ascii="Arial" w:hAnsi="Arial" w:cs="Arial"/>
          <w:sz w:val="20"/>
          <w:szCs w:val="20"/>
        </w:rPr>
        <w:t>прочного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пластика</w:t>
      </w:r>
      <w:proofErr w:type="spellEnd"/>
    </w:p>
    <w:p w14:paraId="5A7EF46D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F0A18">
        <w:rPr>
          <w:rFonts w:ascii="Arial" w:hAnsi="Arial" w:cs="Arial"/>
          <w:sz w:val="20"/>
          <w:szCs w:val="20"/>
        </w:rPr>
        <w:t>Компактный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F0A18">
        <w:rPr>
          <w:rFonts w:ascii="Arial" w:hAnsi="Arial" w:cs="Arial"/>
          <w:sz w:val="20"/>
          <w:szCs w:val="20"/>
        </w:rPr>
        <w:t>легкий</w:t>
      </w:r>
      <w:proofErr w:type="spellEnd"/>
    </w:p>
    <w:p w14:paraId="5373EA24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Р</w:t>
      </w:r>
      <w:proofErr w:type="spellStart"/>
      <w:r w:rsidRPr="003F0A18">
        <w:rPr>
          <w:rFonts w:ascii="Arial" w:hAnsi="Arial" w:cs="Arial"/>
          <w:sz w:val="20"/>
          <w:szCs w:val="20"/>
        </w:rPr>
        <w:t>егулируемый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угол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</w:rPr>
        <w:t>освещени</w:t>
      </w:r>
      <w:proofErr w:type="spellEnd"/>
      <w:r w:rsidRPr="003F0A18">
        <w:rPr>
          <w:rFonts w:ascii="Arial" w:hAnsi="Arial" w:cs="Arial"/>
          <w:sz w:val="20"/>
          <w:szCs w:val="20"/>
          <w:lang w:val="ru-RU"/>
        </w:rPr>
        <w:t xml:space="preserve">я— </w:t>
      </w:r>
      <w:r w:rsidRPr="003F0A18">
        <w:rPr>
          <w:rFonts w:ascii="Arial" w:hAnsi="Arial" w:cs="Arial"/>
          <w:sz w:val="20"/>
          <w:szCs w:val="20"/>
        </w:rPr>
        <w:t>0</w:t>
      </w:r>
      <w:r w:rsidRPr="003F0A18">
        <w:rPr>
          <w:rFonts w:ascii="Arial" w:hAnsi="Arial" w:cs="Arial"/>
          <w:sz w:val="20"/>
          <w:szCs w:val="20"/>
        </w:rPr>
        <w:t>°</w:t>
      </w:r>
      <w:r w:rsidRPr="003F0A18">
        <w:rPr>
          <w:rFonts w:ascii="Arial" w:hAnsi="Arial" w:cs="Arial"/>
          <w:sz w:val="20"/>
          <w:szCs w:val="20"/>
        </w:rPr>
        <w:t>-90</w:t>
      </w:r>
      <w:r w:rsidRPr="003F0A18">
        <w:rPr>
          <w:rFonts w:ascii="Arial" w:hAnsi="Arial" w:cs="Arial"/>
          <w:sz w:val="20"/>
          <w:szCs w:val="20"/>
        </w:rPr>
        <w:t>°</w:t>
      </w:r>
    </w:p>
    <w:p w14:paraId="20EA3A2D" w14:textId="77777777" w:rsidR="00CA23C9" w:rsidRPr="003F0A18" w:rsidRDefault="003F0A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3F0A18">
        <w:rPr>
          <w:rFonts w:ascii="Arial" w:hAnsi="Arial" w:cs="Arial"/>
          <w:sz w:val="20"/>
          <w:szCs w:val="20"/>
        </w:rPr>
        <w:t>Водонепроницаемость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3F0A18">
        <w:rPr>
          <w:rFonts w:ascii="Arial" w:hAnsi="Arial" w:cs="Arial"/>
          <w:sz w:val="20"/>
          <w:szCs w:val="20"/>
        </w:rPr>
        <w:t>соответствии</w:t>
      </w:r>
      <w:proofErr w:type="spellEnd"/>
      <w:r w:rsidRPr="003F0A18">
        <w:rPr>
          <w:rFonts w:ascii="Arial" w:hAnsi="Arial" w:cs="Arial"/>
          <w:sz w:val="20"/>
          <w:szCs w:val="20"/>
        </w:rPr>
        <w:t xml:space="preserve"> с </w:t>
      </w:r>
      <w:r w:rsidRPr="003F0A18">
        <w:rPr>
          <w:rFonts w:ascii="Arial" w:hAnsi="Arial" w:cs="Arial"/>
          <w:sz w:val="20"/>
          <w:szCs w:val="20"/>
        </w:rPr>
        <w:t>IPX5</w:t>
      </w:r>
    </w:p>
    <w:p w14:paraId="54C694AE" w14:textId="77777777" w:rsidR="00CA23C9" w:rsidRPr="003F0A18" w:rsidRDefault="00CA23C9">
      <w:pPr>
        <w:rPr>
          <w:rFonts w:ascii="Arial" w:eastAsia="Calibri" w:hAnsi="Arial" w:cs="Arial"/>
          <w:sz w:val="20"/>
          <w:szCs w:val="20"/>
        </w:rPr>
      </w:pPr>
    </w:p>
    <w:p w14:paraId="6142CA39" w14:textId="77777777" w:rsidR="00CA23C9" w:rsidRPr="003F0A18" w:rsidRDefault="003F0A18">
      <w:pPr>
        <w:rPr>
          <w:rFonts w:ascii="Arial" w:eastAsia="Calibri" w:hAnsi="Arial" w:cs="Arial"/>
          <w:b/>
          <w:bCs/>
          <w:sz w:val="20"/>
          <w:szCs w:val="20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Параметры</w:t>
      </w:r>
    </w:p>
    <w:p w14:paraId="5A54E5F1" w14:textId="77777777" w:rsidR="00CA23C9" w:rsidRPr="003F0A18" w:rsidRDefault="003F0A18">
      <w:pPr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Размеры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: 50,2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мм </w:t>
      </w:r>
      <w:r w:rsidRPr="003F0A18">
        <w:rPr>
          <w:rFonts w:ascii="Arial" w:hAnsi="Arial" w:cs="Arial"/>
          <w:sz w:val="20"/>
          <w:szCs w:val="20"/>
        </w:rPr>
        <w:t>x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59,1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мм </w:t>
      </w:r>
      <w:r w:rsidRPr="003F0A18">
        <w:rPr>
          <w:rFonts w:ascii="Arial" w:hAnsi="Arial" w:cs="Arial"/>
          <w:sz w:val="20"/>
          <w:szCs w:val="20"/>
        </w:rPr>
        <w:t>x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18,7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мм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(1,98 </w:t>
      </w:r>
      <w:r w:rsidRPr="003F0A18">
        <w:rPr>
          <w:rFonts w:ascii="Arial" w:hAnsi="Arial" w:cs="Arial"/>
          <w:sz w:val="20"/>
          <w:szCs w:val="20"/>
        </w:rPr>
        <w:t>x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2,33 </w:t>
      </w:r>
      <w:r w:rsidRPr="003F0A18">
        <w:rPr>
          <w:rFonts w:ascii="Arial" w:hAnsi="Arial" w:cs="Arial"/>
          <w:sz w:val="20"/>
          <w:szCs w:val="20"/>
        </w:rPr>
        <w:t>x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0,74 </w:t>
      </w:r>
      <w:r w:rsidRPr="003F0A18">
        <w:rPr>
          <w:rFonts w:ascii="Arial" w:hAnsi="Arial" w:cs="Arial"/>
          <w:sz w:val="20"/>
          <w:szCs w:val="20"/>
          <w:lang w:val="ru-RU"/>
        </w:rPr>
        <w:t>дюйма</w:t>
      </w:r>
      <w:r w:rsidRPr="003F0A18">
        <w:rPr>
          <w:rFonts w:ascii="Arial" w:hAnsi="Arial" w:cs="Arial"/>
          <w:sz w:val="20"/>
          <w:szCs w:val="20"/>
          <w:lang w:val="ru-RU"/>
        </w:rPr>
        <w:t>) (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с учетом </w:t>
      </w:r>
      <w:r w:rsidRPr="003F0A18">
        <w:rPr>
          <w:rFonts w:ascii="Arial" w:hAnsi="Arial" w:cs="Arial"/>
          <w:sz w:val="20"/>
          <w:szCs w:val="20"/>
          <w:lang w:val="ru-RU"/>
        </w:rPr>
        <w:t>кронштейн</w:t>
      </w:r>
      <w:r w:rsidRPr="003F0A18">
        <w:rPr>
          <w:rFonts w:ascii="Arial" w:hAnsi="Arial" w:cs="Arial"/>
          <w:sz w:val="20"/>
          <w:szCs w:val="20"/>
          <w:lang w:val="ru-RU"/>
        </w:rPr>
        <w:t>а</w:t>
      </w:r>
      <w:r w:rsidRPr="003F0A18">
        <w:rPr>
          <w:rFonts w:ascii="Arial" w:hAnsi="Arial" w:cs="Arial"/>
          <w:sz w:val="20"/>
          <w:szCs w:val="20"/>
          <w:lang w:val="ru-RU"/>
        </w:rPr>
        <w:t>)</w:t>
      </w:r>
    </w:p>
    <w:p w14:paraId="06062459" w14:textId="77777777" w:rsidR="00CA23C9" w:rsidRPr="003F0A18" w:rsidRDefault="003F0A18">
      <w:pPr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Вес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: 59,3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г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(2,09 </w:t>
      </w:r>
      <w:r w:rsidRPr="003F0A18">
        <w:rPr>
          <w:rFonts w:ascii="Arial" w:hAnsi="Arial" w:cs="Arial"/>
          <w:sz w:val="20"/>
          <w:szCs w:val="20"/>
          <w:lang w:val="ru-RU"/>
        </w:rPr>
        <w:t>унции</w:t>
      </w:r>
      <w:r w:rsidRPr="003F0A18">
        <w:rPr>
          <w:rFonts w:ascii="Arial" w:hAnsi="Arial" w:cs="Arial"/>
          <w:sz w:val="20"/>
          <w:szCs w:val="20"/>
          <w:lang w:val="ru-RU"/>
        </w:rPr>
        <w:t>) (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с учетом </w:t>
      </w:r>
      <w:r w:rsidRPr="003F0A18">
        <w:rPr>
          <w:rFonts w:ascii="Arial" w:hAnsi="Arial" w:cs="Arial"/>
          <w:sz w:val="20"/>
          <w:szCs w:val="20"/>
          <w:lang w:val="ru-RU"/>
        </w:rPr>
        <w:t>кронштейн</w:t>
      </w:r>
      <w:r w:rsidRPr="003F0A18">
        <w:rPr>
          <w:rFonts w:ascii="Arial" w:hAnsi="Arial" w:cs="Arial"/>
          <w:sz w:val="20"/>
          <w:szCs w:val="20"/>
          <w:lang w:val="ru-RU"/>
        </w:rPr>
        <w:t>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и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головного </w:t>
      </w:r>
      <w:r w:rsidRPr="003F0A18">
        <w:rPr>
          <w:rFonts w:ascii="Arial" w:hAnsi="Arial" w:cs="Arial"/>
          <w:sz w:val="20"/>
          <w:szCs w:val="20"/>
          <w:lang w:val="ru-RU"/>
        </w:rPr>
        <w:t>крепления</w:t>
      </w:r>
      <w:r w:rsidRPr="003F0A18">
        <w:rPr>
          <w:rFonts w:ascii="Arial" w:hAnsi="Arial" w:cs="Arial"/>
          <w:sz w:val="20"/>
          <w:szCs w:val="20"/>
          <w:lang w:val="ru-RU"/>
        </w:rPr>
        <w:t>)</w:t>
      </w:r>
    </w:p>
    <w:p w14:paraId="34AD1CFC" w14:textId="77777777" w:rsidR="00CA23C9" w:rsidRPr="003F0A18" w:rsidRDefault="003F0A18">
      <w:pPr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       41,0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г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(1,45 </w:t>
      </w:r>
      <w:r w:rsidRPr="003F0A18">
        <w:rPr>
          <w:rFonts w:ascii="Arial" w:hAnsi="Arial" w:cs="Arial"/>
          <w:sz w:val="20"/>
          <w:szCs w:val="20"/>
          <w:lang w:val="ru-RU"/>
        </w:rPr>
        <w:t>унции</w:t>
      </w:r>
      <w:r w:rsidRPr="003F0A18">
        <w:rPr>
          <w:rFonts w:ascii="Arial" w:hAnsi="Arial" w:cs="Arial"/>
          <w:sz w:val="20"/>
          <w:szCs w:val="20"/>
          <w:lang w:val="ru-RU"/>
        </w:rPr>
        <w:t>) (</w:t>
      </w:r>
      <w:r w:rsidRPr="003F0A18">
        <w:rPr>
          <w:rFonts w:ascii="Arial" w:hAnsi="Arial" w:cs="Arial"/>
          <w:sz w:val="20"/>
          <w:szCs w:val="20"/>
          <w:lang w:val="ru-RU"/>
        </w:rPr>
        <w:t>с учетом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кронштейн</w:t>
      </w:r>
      <w:r w:rsidRPr="003F0A18">
        <w:rPr>
          <w:rFonts w:ascii="Arial" w:hAnsi="Arial" w:cs="Arial"/>
          <w:sz w:val="20"/>
          <w:szCs w:val="20"/>
          <w:lang w:val="ru-RU"/>
        </w:rPr>
        <w:t>а</w:t>
      </w:r>
      <w:r w:rsidRPr="003F0A18">
        <w:rPr>
          <w:rFonts w:ascii="Arial" w:hAnsi="Arial" w:cs="Arial"/>
          <w:sz w:val="20"/>
          <w:szCs w:val="20"/>
          <w:lang w:val="ru-RU"/>
        </w:rPr>
        <w:t>)</w:t>
      </w:r>
    </w:p>
    <w:p w14:paraId="703DC14B" w14:textId="77777777" w:rsidR="00CA23C9" w:rsidRPr="003F0A18" w:rsidRDefault="00CA23C9">
      <w:pPr>
        <w:rPr>
          <w:rFonts w:ascii="Arial" w:eastAsia="Calibri" w:hAnsi="Arial" w:cs="Arial"/>
          <w:sz w:val="20"/>
          <w:szCs w:val="20"/>
          <w:lang w:val="ru-RU"/>
        </w:rPr>
      </w:pPr>
    </w:p>
    <w:p w14:paraId="0C2D3A9B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Комплектующие</w:t>
      </w:r>
    </w:p>
    <w:p w14:paraId="3E2E1690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Зарядный кабель</w:t>
      </w:r>
      <w:r w:rsidRPr="003F0A18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</w:rPr>
        <w:t>USB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</w:rPr>
        <w:t>C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головное крепление</w:t>
      </w:r>
    </w:p>
    <w:p w14:paraId="09246C61" w14:textId="77777777" w:rsidR="00CA23C9" w:rsidRPr="003F0A18" w:rsidRDefault="00CA23C9">
      <w:pPr>
        <w:rPr>
          <w:rFonts w:ascii="Arial" w:eastAsia="Calibri" w:hAnsi="Arial" w:cs="Arial"/>
          <w:b/>
          <w:bCs/>
          <w:sz w:val="20"/>
          <w:szCs w:val="20"/>
          <w:lang w:val="ru-RU"/>
        </w:rPr>
      </w:pPr>
    </w:p>
    <w:p w14:paraId="555E8573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Технические характеристики</w:t>
      </w:r>
    </w:p>
    <w:tbl>
      <w:tblPr>
        <w:tblStyle w:val="TableNormal"/>
        <w:tblW w:w="13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241"/>
        <w:gridCol w:w="2135"/>
        <w:gridCol w:w="2989"/>
        <w:gridCol w:w="3203"/>
      </w:tblGrid>
      <w:tr w:rsidR="00CA23C9" w:rsidRPr="003F0A18" w14:paraId="56358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802B" w14:textId="77777777" w:rsidR="00CA23C9" w:rsidRPr="003F0A18" w:rsidRDefault="00CA23C9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C0F8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Белый свет</w:t>
            </w:r>
          </w:p>
        </w:tc>
        <w:tc>
          <w:tcPr>
            <w:tcW w:w="6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D1A6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proofErr w:type="spellStart"/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Красный</w:t>
            </w:r>
            <w:proofErr w:type="spellEnd"/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 xml:space="preserve"> свет</w:t>
            </w:r>
          </w:p>
        </w:tc>
      </w:tr>
      <w:tr w:rsidR="00CA23C9" w:rsidRPr="003F0A18" w14:paraId="08E31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4842" w14:textId="77777777" w:rsidR="00CA23C9" w:rsidRPr="003F0A18" w:rsidRDefault="00CA23C9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F027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ВЫСОКИЙ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02C1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НИЗКИЙ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5FE2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БЕСПРЕРЫВНОЕ ГОРЕНИЕ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3CAA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ПРЕДУПРЕДИТЕЛЬНОЕ МИГАНИЕ</w:t>
            </w:r>
          </w:p>
        </w:tc>
      </w:tr>
      <w:tr w:rsidR="00CA23C9" w:rsidRPr="003F0A18" w14:paraId="42B7C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4496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Яркость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DEF8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 xml:space="preserve">150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люмен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9BDF0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 xml:space="preserve">45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люмен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84F7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 xml:space="preserve">4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люмен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1DD69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 xml:space="preserve">4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люмен</w:t>
            </w:r>
          </w:p>
        </w:tc>
      </w:tr>
      <w:tr w:rsidR="00CA23C9" w:rsidRPr="003F0A18" w14:paraId="39D59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E3D3C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Время работы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E37C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2.5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1133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6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ч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7C76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30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97C7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60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ч</w:t>
            </w:r>
          </w:p>
        </w:tc>
      </w:tr>
      <w:tr w:rsidR="00CA23C9" w:rsidRPr="003F0A18" w14:paraId="1D6D0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ECCAC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Дальность луча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CE75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50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м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32E87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25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CA94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3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м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4924A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─</w:t>
            </w:r>
          </w:p>
        </w:tc>
      </w:tr>
      <w:tr w:rsidR="00CA23C9" w:rsidRPr="003F0A18" w14:paraId="1653BF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4104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Ударопрочность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33562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м</w:t>
            </w:r>
          </w:p>
        </w:tc>
      </w:tr>
      <w:tr w:rsidR="00CA23C9" w:rsidRPr="003F0A18" w14:paraId="6DCBD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53662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Водонепроницаемость</w:t>
            </w:r>
          </w:p>
        </w:tc>
        <w:tc>
          <w:tcPr>
            <w:tcW w:w="10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0D36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IPX5</w:t>
            </w:r>
          </w:p>
        </w:tc>
      </w:tr>
    </w:tbl>
    <w:p w14:paraId="40502BDD" w14:textId="77777777" w:rsidR="00CA23C9" w:rsidRPr="003F0A18" w:rsidRDefault="00CA23C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EAFA1EA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Примечание</w:t>
      </w:r>
      <w:r w:rsidRPr="003F0A18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r w:rsidRPr="003F0A18">
        <w:rPr>
          <w:rFonts w:ascii="Arial" w:hAnsi="Arial" w:cs="Arial"/>
          <w:sz w:val="20"/>
          <w:szCs w:val="20"/>
          <w:lang w:val="ru-RU"/>
        </w:rPr>
        <w:t>Приведенные характеристики получены в лабораторных условиях с использованием литий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ионного аккумулятора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(3.6 </w:t>
      </w:r>
      <w:r w:rsidRPr="003F0A18">
        <w:rPr>
          <w:rFonts w:ascii="Arial" w:hAnsi="Arial" w:cs="Arial"/>
          <w:sz w:val="20"/>
          <w:szCs w:val="20"/>
          <w:lang w:val="ru-RU"/>
        </w:rPr>
        <w:t>В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; 600 </w:t>
      </w:r>
      <w:r w:rsidRPr="003F0A18">
        <w:rPr>
          <w:rFonts w:ascii="Arial" w:hAnsi="Arial" w:cs="Arial"/>
          <w:sz w:val="20"/>
          <w:szCs w:val="20"/>
          <w:lang w:val="ru-RU"/>
        </w:rPr>
        <w:t>мАч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). </w:t>
      </w:r>
      <w:r w:rsidRPr="003F0A18">
        <w:rPr>
          <w:rFonts w:ascii="Arial" w:hAnsi="Arial" w:cs="Arial"/>
          <w:sz w:val="20"/>
          <w:szCs w:val="20"/>
          <w:lang w:val="ru-RU"/>
        </w:rPr>
        <w:t>При эксплуатации данные могут отличаться вследствие влияния условий окружающей среды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12E365AD" w14:textId="77777777" w:rsidR="00CA23C9" w:rsidRPr="003F0A18" w:rsidRDefault="00CA23C9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00"/>
          <w:lang w:val="ru-RU"/>
        </w:rPr>
      </w:pPr>
    </w:p>
    <w:p w14:paraId="38C06541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Зарядка</w:t>
      </w:r>
    </w:p>
    <w:p w14:paraId="47F94C6C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</w:rPr>
        <w:t>NU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11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оснащен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умной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системой зарядки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Пожалуйста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зарядите налобный фонарь перед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эксплуатацией впервые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41F5B4F5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Подключение 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к источнику 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питания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чтобы начать зарядку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откройте защитную крышку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USB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 с помощью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fr-FR"/>
        </w:rPr>
        <w:t>USB-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кабеля подключите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порт зарядки устройства 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внешн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ему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источник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питания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например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адаптер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USB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или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другим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зарядны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устройства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м с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USB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портом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).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Время зарядки составляет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приблизительно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2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часа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при зарядке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посредством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адаптер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5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/1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).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При полной зарядке время работы в режиме ожидания составляет прибл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изительно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12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месяцев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0A2C0029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Сообщение уровня заряда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во время зарядки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4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индикатора питания постепенно переходят от мигания к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беспрерывному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горению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сообщая таким образом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уровень заряда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аккумулятора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Когда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аккумулятор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полностью заря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дится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4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индикатора питания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начнут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беспрерывно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гореть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550EE09D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Примечание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.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</w:rPr>
        <w:t>NU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11 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можно использовать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 xml:space="preserve"> во вре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мя зарядки</w:t>
      </w: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.</w:t>
      </w:r>
    </w:p>
    <w:p w14:paraId="36CBB7F5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eastAsia="Calibri" w:hAnsi="Arial" w:cs="Arial"/>
          <w:b/>
          <w:bCs/>
          <w:noProof/>
          <w:sz w:val="20"/>
          <w:szCs w:val="20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58053153" wp14:editId="5A421963">
            <wp:simplePos x="0" y="0"/>
            <wp:positionH relativeFrom="margin">
              <wp:posOffset>5113954</wp:posOffset>
            </wp:positionH>
            <wp:positionV relativeFrom="line">
              <wp:posOffset>263797</wp:posOffset>
            </wp:positionV>
            <wp:extent cx="3353393" cy="14392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153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533.jpeg" descr="IMG_1533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393" cy="1439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5D1270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Две кнопки управления</w:t>
      </w:r>
    </w:p>
    <w:p w14:paraId="4D9923C2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Кнопка питания используется для активации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/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выключения устройства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 также для регулирования уровня яркости и переключения между источниками света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06FDB7DA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Кнопка ИК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датчика предназначена для управления функцией ИК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датчика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4E82C8A9" w14:textId="77777777" w:rsidR="00CA23C9" w:rsidRPr="003F0A18" w:rsidRDefault="00CA23C9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ru-RU"/>
        </w:rPr>
      </w:pPr>
    </w:p>
    <w:p w14:paraId="0A58EA84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Инструкция по эксплуатации</w:t>
      </w:r>
    </w:p>
    <w:p w14:paraId="10298BBE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Включение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когда устройство находится в выключенном состоянии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кратковременно нажмите на кнопку питания для активации белого света на ВЫСОКОМ уровне яркости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24E2BDEF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Переключение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когда устройство находится во включенном состоя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нии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кратковременно нажимайте на кнопку питания для переключения в следующей последовательности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БЕЛЫЙ СВЕТ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ВЫСОКИЙ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— БЕЛЫЙ СВЕТ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НИЗКИЙ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— КРАСНЫЙ СВЕТ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БЕСПРЕРЫВНОЕ ГОРЕНИЕ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— КРАСНЫЙ СВЕТ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(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ПРЕДУПРЕДИТЕЛЬНОЕ МИГАНИЕ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)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— ВЫКЛЮЧЕНИЕ</w:t>
      </w:r>
    </w:p>
    <w:p w14:paraId="299D3F5C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Выключение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когда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устройство работает без каких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либо операций с вашей стороны в течение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3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секунд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вы можете выключить его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кратковременно нажав на кнопку питания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1094757B" w14:textId="77777777" w:rsidR="00CA23C9" w:rsidRPr="003F0A18" w:rsidRDefault="00CA23C9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ru-RU"/>
        </w:rPr>
      </w:pPr>
    </w:p>
    <w:p w14:paraId="2A6BA6FB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Функция ИК</w:t>
      </w:r>
      <w:r w:rsidRPr="003F0A18">
        <w:rPr>
          <w:rFonts w:ascii="Arial" w:hAnsi="Arial" w:cs="Arial"/>
          <w:b/>
          <w:bCs/>
          <w:sz w:val="20"/>
          <w:szCs w:val="20"/>
          <w:lang w:val="ru-RU"/>
        </w:rPr>
        <w:t>-</w:t>
      </w: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датчика</w:t>
      </w:r>
    </w:p>
    <w:p w14:paraId="7EF1C6F8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Включение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lang w:val="ru-RU"/>
        </w:rPr>
        <w:t>когда устройство находится во включенном состоянии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кратковременно </w:t>
      </w:r>
      <w:r w:rsidRPr="003F0A18">
        <w:rPr>
          <w:rFonts w:ascii="Arial" w:hAnsi="Arial" w:cs="Arial"/>
          <w:sz w:val="20"/>
          <w:szCs w:val="20"/>
          <w:lang w:val="ru-RU"/>
        </w:rPr>
        <w:t>нажмите на кнопку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 для активации функции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после чего индикатор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 загорится и станет беспрерывно гореть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1C6B057E" w14:textId="77777777" w:rsidR="00CA23C9" w:rsidRPr="003F0A18" w:rsidRDefault="003F0A18">
      <w:pPr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>Выключение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lang w:val="ru-RU"/>
        </w:rPr>
        <w:t>когда активирована функция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кратковременно нажмите на кнопку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чтобы его выключить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после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чего индикатор ИК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датчика потухнет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50BE6DBE" w14:textId="77777777" w:rsidR="00CA23C9" w:rsidRPr="003F0A18" w:rsidRDefault="003F0A18">
      <w:pPr>
        <w:pStyle w:val="a6"/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Обнаружение волны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: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когда активирована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функция ИК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-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датчика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махните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рукой перед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NU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11,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чтобы включить или выключить его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3484E9FE" w14:textId="77777777" w:rsidR="00CA23C9" w:rsidRPr="003F0A18" w:rsidRDefault="003F0A18">
      <w:pPr>
        <w:pStyle w:val="a6"/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Расстояние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срабатывания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>: 5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10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см 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(1,97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3,94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дюйма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6A117230" w14:textId="77777777" w:rsidR="00CA23C9" w:rsidRPr="003F0A18" w:rsidRDefault="00CA23C9">
      <w:pPr>
        <w:spacing w:line="2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3A568F21" w14:textId="77777777" w:rsidR="00CA23C9" w:rsidRPr="003F0A18" w:rsidRDefault="003F0A18">
      <w:pPr>
        <w:pStyle w:val="a6"/>
        <w:spacing w:line="20" w:lineRule="atLeast"/>
        <w:ind w:firstLine="0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3F0A18">
        <w:rPr>
          <w:rFonts w:ascii="Arial" w:hAnsi="Arial" w:cs="Arial"/>
          <w:b/>
          <w:bCs/>
          <w:sz w:val="20"/>
          <w:szCs w:val="20"/>
          <w:shd w:val="clear" w:color="auto" w:fill="FFFFFF"/>
          <w:lang w:val="ru-RU"/>
        </w:rPr>
        <w:t>Сообщение уровня заряда</w:t>
      </w:r>
    </w:p>
    <w:p w14:paraId="25BDA9D9" w14:textId="77777777" w:rsidR="00CA23C9" w:rsidRPr="003F0A18" w:rsidRDefault="003F0A18">
      <w:pPr>
        <w:pStyle w:val="a6"/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После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активации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устройства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индикаторы питания последовательно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загорятся на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2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секунды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сообщая таким образом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оставшийся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уровень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заряд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аккумулятора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14:paraId="7829C0E5" w14:textId="77777777" w:rsidR="00CA23C9" w:rsidRPr="003F0A18" w:rsidRDefault="003F0A18">
      <w:pPr>
        <w:pStyle w:val="a6"/>
        <w:numPr>
          <w:ilvl w:val="0"/>
          <w:numId w:val="2"/>
        </w:num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Если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аккумулятор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разряжен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 устройство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вк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лючено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индикатор питания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начнет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мигать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с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ообщая таким образом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о низком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уровне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заряд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аккумулятора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Пожалуйста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подключите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F0A18">
        <w:rPr>
          <w:rFonts w:ascii="Arial" w:hAnsi="Arial" w:cs="Arial"/>
          <w:sz w:val="20"/>
          <w:szCs w:val="20"/>
          <w:shd w:val="clear" w:color="auto" w:fill="FFFFFF"/>
          <w:lang w:val="ru-RU"/>
        </w:rPr>
        <w:t>устройство к источнику питания</w:t>
      </w:r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как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можно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F0A18">
        <w:rPr>
          <w:rFonts w:ascii="Arial" w:hAnsi="Arial" w:cs="Arial"/>
          <w:sz w:val="20"/>
          <w:szCs w:val="20"/>
          <w:shd w:val="clear" w:color="auto" w:fill="FFFFFF"/>
        </w:rPr>
        <w:t>скорее</w:t>
      </w:r>
      <w:proofErr w:type="spellEnd"/>
      <w:r w:rsidRPr="003F0A1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Style w:val="TableNormal"/>
        <w:tblW w:w="53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260"/>
      </w:tblGrid>
      <w:tr w:rsidR="00CA23C9" w:rsidRPr="003F0A18" w14:paraId="2C9BB6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13F0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proofErr w:type="spellStart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>Состояние</w:t>
            </w:r>
            <w:proofErr w:type="spellEnd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>индикаторов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DD0A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proofErr w:type="spellStart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>Уровень</w:t>
            </w:r>
            <w:proofErr w:type="spellEnd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spellStart"/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>заряда</w:t>
            </w:r>
            <w:proofErr w:type="spellEnd"/>
          </w:p>
        </w:tc>
      </w:tr>
      <w:tr w:rsidR="00CA23C9" w:rsidRPr="003F0A18" w14:paraId="3D72AF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6B4D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 xml:space="preserve">4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lang w:val="ru-RU"/>
              </w:rPr>
              <w:t>беспрерывно горят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59AA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75% – 100%</w:t>
            </w:r>
          </w:p>
        </w:tc>
      </w:tr>
      <w:tr w:rsidR="00CA23C9" w:rsidRPr="003F0A18" w14:paraId="6A218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BAE9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 xml:space="preserve">3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lang w:val="ru-RU"/>
              </w:rPr>
              <w:t>беспрерывно горят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7760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50% – 75%</w:t>
            </w:r>
          </w:p>
        </w:tc>
      </w:tr>
      <w:tr w:rsidR="00CA23C9" w:rsidRPr="003F0A18" w14:paraId="4F45C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55FA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t xml:space="preserve">2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lang w:val="ru-RU"/>
              </w:rPr>
              <w:t>беспрерывно горят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28D1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25% – 50%</w:t>
            </w:r>
          </w:p>
        </w:tc>
      </w:tr>
      <w:tr w:rsidR="00CA23C9" w:rsidRPr="003F0A18" w14:paraId="4DC83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8078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1 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lang w:val="ru-RU"/>
              </w:rPr>
              <w:t>беспрерывно горит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43F9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</w:rPr>
              <w:t>0% – 25%</w:t>
            </w:r>
          </w:p>
          <w:p w14:paraId="067B9322" w14:textId="77777777" w:rsidR="00CA23C9" w:rsidRPr="003F0A18" w:rsidRDefault="003F0A18">
            <w:pPr>
              <w:spacing w:line="20" w:lineRule="atLeast"/>
              <w:jc w:val="center"/>
              <w:rPr>
                <w:rFonts w:ascii="Arial" w:hAnsi="Arial" w:cs="Arial"/>
                <w:lang w:val="ru-RU"/>
              </w:rPr>
            </w:pP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Pr="003F0A18">
              <w:rPr>
                <w:rFonts w:ascii="Arial" w:hAnsi="Arial" w:cs="Arial"/>
                <w:kern w:val="0"/>
                <w:sz w:val="20"/>
                <w:szCs w:val="20"/>
                <w:shd w:val="clear" w:color="auto" w:fill="FFFFFF"/>
                <w:lang w:val="ru-RU"/>
              </w:rPr>
              <w:t>Пожалуйста подключите устройство к источнику питания как можно скорее)</w:t>
            </w:r>
          </w:p>
        </w:tc>
      </w:tr>
    </w:tbl>
    <w:p w14:paraId="146F7F66" w14:textId="77777777" w:rsidR="00CA23C9" w:rsidRPr="003F0A18" w:rsidRDefault="00CA23C9">
      <w:pPr>
        <w:rPr>
          <w:rFonts w:ascii="Arial" w:eastAsia="Calibri" w:hAnsi="Arial" w:cs="Arial"/>
          <w:sz w:val="20"/>
          <w:szCs w:val="20"/>
          <w:lang w:val="ru-RU"/>
        </w:rPr>
      </w:pPr>
    </w:p>
    <w:p w14:paraId="14771C3D" w14:textId="77777777" w:rsidR="00CA23C9" w:rsidRPr="003F0A18" w:rsidRDefault="00CA23C9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</w:p>
    <w:p w14:paraId="3882FBC5" w14:textId="77777777" w:rsidR="00CA23C9" w:rsidRPr="003F0A18" w:rsidRDefault="003F0A18">
      <w:pPr>
        <w:spacing w:line="20" w:lineRule="atLeast"/>
        <w:rPr>
          <w:rFonts w:ascii="Arial" w:eastAsia="Calibri" w:hAnsi="Arial" w:cs="Arial"/>
          <w:b/>
          <w:bCs/>
          <w:sz w:val="20"/>
          <w:szCs w:val="20"/>
          <w:lang w:val="ru-RU"/>
        </w:rPr>
      </w:pPr>
      <w:r w:rsidRPr="003F0A18">
        <w:rPr>
          <w:rFonts w:ascii="Arial" w:hAnsi="Arial" w:cs="Arial"/>
          <w:b/>
          <w:bCs/>
          <w:sz w:val="20"/>
          <w:szCs w:val="20"/>
          <w:lang w:val="ru-RU"/>
        </w:rPr>
        <w:t>Меры предосторожности</w:t>
      </w:r>
    </w:p>
    <w:p w14:paraId="14018378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1. </w:t>
      </w:r>
      <w:r w:rsidRPr="003F0A18">
        <w:rPr>
          <w:rFonts w:ascii="Arial" w:hAnsi="Arial" w:cs="Arial"/>
          <w:sz w:val="20"/>
          <w:szCs w:val="20"/>
          <w:lang w:val="ru-RU"/>
        </w:rPr>
        <w:t>ВНИМАНИЕ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! </w:t>
      </w:r>
      <w:r w:rsidRPr="003F0A18">
        <w:rPr>
          <w:rFonts w:ascii="Arial" w:hAnsi="Arial" w:cs="Arial"/>
          <w:sz w:val="20"/>
          <w:szCs w:val="20"/>
          <w:lang w:val="ru-RU"/>
        </w:rPr>
        <w:t>Возможно опасное излучение</w:t>
      </w:r>
      <w:r w:rsidRPr="003F0A18">
        <w:rPr>
          <w:rFonts w:ascii="Arial" w:hAnsi="Arial" w:cs="Arial"/>
          <w:sz w:val="20"/>
          <w:szCs w:val="20"/>
          <w:lang w:val="ru-RU"/>
        </w:rPr>
        <w:t>!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Не направляйте луч света в глаза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! </w:t>
      </w:r>
      <w:r w:rsidRPr="003F0A18">
        <w:rPr>
          <w:rFonts w:ascii="Arial" w:hAnsi="Arial" w:cs="Arial"/>
          <w:sz w:val="20"/>
          <w:szCs w:val="20"/>
          <w:lang w:val="ru-RU"/>
        </w:rPr>
        <w:t>Поскольку это может нанести им значительный вред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191D5056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2. </w:t>
      </w:r>
      <w:r w:rsidRPr="003F0A18">
        <w:rPr>
          <w:rFonts w:ascii="Arial" w:hAnsi="Arial" w:cs="Arial"/>
          <w:sz w:val="20"/>
          <w:szCs w:val="20"/>
          <w:lang w:val="ru-RU"/>
        </w:rPr>
        <w:t>Пожалуйста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не </w:t>
      </w:r>
      <w:r w:rsidRPr="003F0A18">
        <w:rPr>
          <w:rFonts w:ascii="Arial" w:hAnsi="Arial" w:cs="Arial"/>
          <w:sz w:val="20"/>
          <w:szCs w:val="20"/>
          <w:lang w:val="ru-RU"/>
        </w:rPr>
        <w:t>забывайте заряжать устройство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каждые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6 </w:t>
      </w:r>
      <w:r w:rsidRPr="003F0A18">
        <w:rPr>
          <w:rFonts w:ascii="Arial" w:hAnsi="Arial" w:cs="Arial"/>
          <w:sz w:val="20"/>
          <w:szCs w:val="20"/>
          <w:lang w:val="ru-RU"/>
        </w:rPr>
        <w:t>месяцев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если не используе</w:t>
      </w:r>
      <w:r w:rsidRPr="003F0A18">
        <w:rPr>
          <w:rFonts w:ascii="Arial" w:hAnsi="Arial" w:cs="Arial"/>
          <w:sz w:val="20"/>
          <w:szCs w:val="20"/>
          <w:lang w:val="ru-RU"/>
        </w:rPr>
        <w:t>те его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в течение длительного времени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149FC07F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3. </w:t>
      </w:r>
      <w:r w:rsidRPr="003F0A18">
        <w:rPr>
          <w:rFonts w:ascii="Arial" w:hAnsi="Arial" w:cs="Arial"/>
          <w:sz w:val="20"/>
          <w:szCs w:val="20"/>
          <w:lang w:val="ru-RU"/>
        </w:rPr>
        <w:t>ЗАПРЕ</w:t>
      </w:r>
      <w:r w:rsidRPr="003F0A18">
        <w:rPr>
          <w:rFonts w:ascii="Arial" w:hAnsi="Arial" w:cs="Arial"/>
          <w:sz w:val="20"/>
          <w:szCs w:val="20"/>
          <w:lang w:val="ru-RU"/>
        </w:rPr>
        <w:t>ЩЕНО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разбирать налобный фонарь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и вносить какие</w:t>
      </w:r>
      <w:r w:rsidRPr="003F0A18">
        <w:rPr>
          <w:rFonts w:ascii="Arial" w:hAnsi="Arial" w:cs="Arial"/>
          <w:sz w:val="20"/>
          <w:szCs w:val="20"/>
          <w:lang w:val="ru-RU"/>
        </w:rPr>
        <w:t>-</w:t>
      </w:r>
      <w:r w:rsidRPr="003F0A18">
        <w:rPr>
          <w:rFonts w:ascii="Arial" w:hAnsi="Arial" w:cs="Arial"/>
          <w:sz w:val="20"/>
          <w:szCs w:val="20"/>
          <w:lang w:val="ru-RU"/>
        </w:rPr>
        <w:t>либо изменения в его конструкцию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так как это может привести к его повреждению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>а также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аннулированию гарантии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. </w:t>
      </w:r>
      <w:r w:rsidRPr="003F0A18">
        <w:rPr>
          <w:rFonts w:ascii="Arial" w:hAnsi="Arial" w:cs="Arial"/>
          <w:sz w:val="20"/>
          <w:szCs w:val="20"/>
          <w:lang w:val="ru-RU"/>
        </w:rPr>
        <w:t>Пожалуйста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, 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для получения более подробной информации о гарантии </w:t>
      </w:r>
      <w:r w:rsidRPr="003F0A18">
        <w:rPr>
          <w:rFonts w:ascii="Arial" w:hAnsi="Arial" w:cs="Arial"/>
          <w:sz w:val="20"/>
          <w:szCs w:val="20"/>
          <w:lang w:val="ru-RU"/>
        </w:rPr>
        <w:t>обратитесь к разделу гаранти</w:t>
      </w:r>
      <w:r w:rsidRPr="003F0A18">
        <w:rPr>
          <w:rFonts w:ascii="Arial" w:hAnsi="Arial" w:cs="Arial"/>
          <w:sz w:val="20"/>
          <w:szCs w:val="20"/>
          <w:lang w:val="ru-RU"/>
        </w:rPr>
        <w:t>йного обслуживания текущего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lang w:val="ru-RU"/>
        </w:rPr>
        <w:t>руководства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4FA88607" w14:textId="77777777" w:rsidR="00CA23C9" w:rsidRPr="003F0A18" w:rsidRDefault="003F0A18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  <w:r w:rsidRPr="003F0A18">
        <w:rPr>
          <w:rFonts w:ascii="Arial" w:hAnsi="Arial" w:cs="Arial"/>
          <w:sz w:val="20"/>
          <w:szCs w:val="20"/>
          <w:lang w:val="ru-RU"/>
        </w:rPr>
        <w:t xml:space="preserve">4. </w:t>
      </w:r>
      <w:r w:rsidRPr="003F0A18">
        <w:rPr>
          <w:rFonts w:ascii="Arial" w:hAnsi="Arial" w:cs="Arial"/>
          <w:sz w:val="20"/>
          <w:szCs w:val="20"/>
          <w:lang w:val="ru-RU"/>
        </w:rPr>
        <w:t>Утилизируйте устройство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</w:t>
      </w:r>
      <w:r w:rsidRPr="003F0A18">
        <w:rPr>
          <w:rFonts w:ascii="Arial" w:hAnsi="Arial" w:cs="Arial"/>
          <w:sz w:val="20"/>
          <w:szCs w:val="20"/>
          <w:lang w:val="ru-RU"/>
        </w:rPr>
        <w:t>/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аккумуляторы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в соответствии с </w:t>
      </w:r>
      <w:r w:rsidRPr="003F0A18">
        <w:rPr>
          <w:rFonts w:ascii="Arial" w:hAnsi="Arial" w:cs="Arial"/>
          <w:sz w:val="20"/>
          <w:szCs w:val="20"/>
          <w:lang w:val="ru-RU"/>
        </w:rPr>
        <w:t>действующим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местным закон</w:t>
      </w:r>
      <w:r w:rsidRPr="003F0A18">
        <w:rPr>
          <w:rFonts w:ascii="Arial" w:hAnsi="Arial" w:cs="Arial"/>
          <w:sz w:val="20"/>
          <w:szCs w:val="20"/>
          <w:lang w:val="ru-RU"/>
        </w:rPr>
        <w:t>одательством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и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принятыми</w:t>
      </w:r>
      <w:r w:rsidRPr="003F0A18">
        <w:rPr>
          <w:rFonts w:ascii="Arial" w:hAnsi="Arial" w:cs="Arial"/>
          <w:sz w:val="20"/>
          <w:szCs w:val="20"/>
          <w:lang w:val="ru-RU"/>
        </w:rPr>
        <w:t xml:space="preserve"> правилами</w:t>
      </w:r>
      <w:r w:rsidRPr="003F0A18">
        <w:rPr>
          <w:rFonts w:ascii="Arial" w:hAnsi="Arial" w:cs="Arial"/>
          <w:sz w:val="20"/>
          <w:szCs w:val="20"/>
          <w:lang w:val="ru-RU"/>
        </w:rPr>
        <w:t>.</w:t>
      </w:r>
    </w:p>
    <w:p w14:paraId="0F2A95BC" w14:textId="77777777" w:rsidR="00CA23C9" w:rsidRPr="003F0A18" w:rsidRDefault="00CA23C9">
      <w:pPr>
        <w:spacing w:line="20" w:lineRule="atLeast"/>
        <w:rPr>
          <w:rFonts w:ascii="Arial" w:eastAsia="Calibri" w:hAnsi="Arial" w:cs="Arial"/>
          <w:sz w:val="20"/>
          <w:szCs w:val="20"/>
          <w:lang w:val="ru-RU"/>
        </w:rPr>
      </w:pPr>
    </w:p>
    <w:p w14:paraId="6FBF02F1" w14:textId="77777777" w:rsidR="00CA23C9" w:rsidRPr="003F0A18" w:rsidRDefault="003F0A1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Arial" w:eastAsia="Calibri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Гарантийное обслуживание</w:t>
      </w:r>
    </w:p>
    <w:p w14:paraId="0DE0D9DB" w14:textId="77777777" w:rsidR="00CA23C9" w:rsidRPr="003F0A18" w:rsidRDefault="003F0A18">
      <w:pPr>
        <w:pStyle w:val="a8"/>
        <w:rPr>
          <w:rFonts w:ascii="Arial" w:eastAsia="Calibri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Вся продукция 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 обладает гарантией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 наличии у продукта каких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либо дефек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тов или брака его можно обменять у местного дистрибьютора в течение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дней с даты покупки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После этого неисправную продукцию 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можно бесплатно починить в течение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месяцев со дня покупки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прошествии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месяцев начинает действовать ограниченная гарантия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которая покрывает стоимость работы и обслуживания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не распространяется на оплату комплектующих и запасных частей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612553E" w14:textId="77777777" w:rsidR="00CA23C9" w:rsidRPr="003F0A18" w:rsidRDefault="003F0A18">
      <w:pPr>
        <w:pStyle w:val="a8"/>
        <w:rPr>
          <w:rFonts w:ascii="Arial" w:eastAsia="Calibri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Гарантия аннулируется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если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85CE539" w14:textId="77777777" w:rsidR="00CA23C9" w:rsidRPr="003F0A18" w:rsidRDefault="003F0A18">
      <w:pPr>
        <w:pStyle w:val="a8"/>
        <w:rPr>
          <w:rFonts w:ascii="Arial" w:eastAsia="Calibri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сломана или в ее конструкцию были внесены изменения неофициальными лицами</w:t>
      </w:r>
    </w:p>
    <w:p w14:paraId="6ED269EF" w14:textId="77777777" w:rsidR="00CA23C9" w:rsidRPr="003F0A18" w:rsidRDefault="003F0A18">
      <w:pPr>
        <w:pStyle w:val="a8"/>
        <w:rPr>
          <w:rFonts w:ascii="Arial" w:eastAsia="Calibri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повреждена вследствие неправильного пользования</w:t>
      </w:r>
    </w:p>
    <w:p w14:paraId="1936F8CD" w14:textId="77777777" w:rsidR="00CA23C9" w:rsidRPr="003F0A18" w:rsidRDefault="003F0A18">
      <w:pPr>
        <w:pStyle w:val="a8"/>
        <w:rPr>
          <w:rFonts w:ascii="Arial" w:eastAsia="Calibri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последней информацией о продукции и услугах 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пожалуйста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обращайтесь к местному дистрибьютору 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или пишите на почту 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service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@</w:t>
      </w:r>
      <w:proofErr w:type="spellStart"/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proofErr w:type="spellEnd"/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3F0A18">
        <w:rPr>
          <w:rFonts w:ascii="Arial" w:hAnsi="Arial" w:cs="Arial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</w:p>
    <w:p w14:paraId="6CF3976D" w14:textId="77777777" w:rsidR="00CA23C9" w:rsidRPr="003F0A18" w:rsidRDefault="003F0A18">
      <w:pPr>
        <w:pStyle w:val="a8"/>
        <w:numPr>
          <w:ilvl w:val="0"/>
          <w:numId w:val="3"/>
        </w:numPr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Все изображения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тексты и утверждения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приведенные в рамках данного руководства пользователя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предназначены исключительно в справочных целей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возникновения каких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либо расхождений между данным руководством и информацией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указанной на сайте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www.nitecore.com,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</w:t>
      </w:r>
      <w:r w:rsidRPr="003F0A18">
        <w:rPr>
          <w:rFonts w:ascii="Arial" w:hAnsi="Arial" w:cs="Arial"/>
          <w:sz w:val="20"/>
          <w:szCs w:val="2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Sysmax Innovations Co., Ltd. 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оставляет за собой права интерпретировать и изменять содержание данного документа в любое время без предварительного у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ведомления</w:t>
      </w:r>
      <w:r w:rsidRPr="003F0A18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CA23C9" w:rsidRPr="003F0A18">
      <w:headerReference w:type="default" r:id="rId8"/>
      <w:footerReference w:type="default" r:id="rId9"/>
      <w:pgSz w:w="16840" w:h="2380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232A" w14:textId="77777777" w:rsidR="003F0A18" w:rsidRDefault="003F0A18">
      <w:r>
        <w:separator/>
      </w:r>
    </w:p>
  </w:endnote>
  <w:endnote w:type="continuationSeparator" w:id="0">
    <w:p w14:paraId="3791F6F4" w14:textId="77777777" w:rsidR="003F0A18" w:rsidRDefault="003F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37FD" w14:textId="77777777" w:rsidR="00CA23C9" w:rsidRDefault="00CA2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DBCF" w14:textId="77777777" w:rsidR="003F0A18" w:rsidRDefault="003F0A18">
      <w:r>
        <w:separator/>
      </w:r>
    </w:p>
  </w:footnote>
  <w:footnote w:type="continuationSeparator" w:id="0">
    <w:p w14:paraId="0052250E" w14:textId="77777777" w:rsidR="003F0A18" w:rsidRDefault="003F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14D8" w14:textId="77777777" w:rsidR="00CA23C9" w:rsidRDefault="00CA2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800"/>
    <w:multiLevelType w:val="hybridMultilevel"/>
    <w:tmpl w:val="F9FCFB02"/>
    <w:styleLink w:val="a"/>
    <w:lvl w:ilvl="0" w:tplc="2FC86BC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8C73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2E62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8AA8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03D1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A662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852F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84CE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EF84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605A58"/>
    <w:multiLevelType w:val="hybridMultilevel"/>
    <w:tmpl w:val="F9FCFB02"/>
    <w:numStyleLink w:val="a"/>
  </w:abstractNum>
  <w:num w:numId="1" w16cid:durableId="484708093">
    <w:abstractNumId w:val="0"/>
  </w:num>
  <w:num w:numId="2" w16cid:durableId="1449929647">
    <w:abstractNumId w:val="1"/>
  </w:num>
  <w:num w:numId="3" w16cid:durableId="1325742648">
    <w:abstractNumId w:val="1"/>
    <w:lvlOverride w:ilvl="0">
      <w:lvl w:ilvl="0" w:tplc="FB6C212A">
        <w:start w:val="1"/>
        <w:numFmt w:val="bullet"/>
        <w:lvlText w:val="※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5BA">
        <w:start w:val="1"/>
        <w:numFmt w:val="bullet"/>
        <w:lvlText w:val="※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3A0BFC">
        <w:start w:val="1"/>
        <w:numFmt w:val="bullet"/>
        <w:lvlText w:val="※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166B6C">
        <w:start w:val="1"/>
        <w:numFmt w:val="bullet"/>
        <w:lvlText w:val="※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42BBAE">
        <w:start w:val="1"/>
        <w:numFmt w:val="bullet"/>
        <w:lvlText w:val="※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6838C">
        <w:start w:val="1"/>
        <w:numFmt w:val="bullet"/>
        <w:lvlText w:val="※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9A48B8">
        <w:start w:val="1"/>
        <w:numFmt w:val="bullet"/>
        <w:lvlText w:val="※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4EC4C6">
        <w:start w:val="1"/>
        <w:numFmt w:val="bullet"/>
        <w:lvlText w:val="※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4C7918">
        <w:start w:val="1"/>
        <w:numFmt w:val="bullet"/>
        <w:lvlText w:val="※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C9"/>
    <w:rsid w:val="003F0A18"/>
    <w:rsid w:val="00C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BCD7"/>
  <w15:docId w15:val="{490DD953-729C-4C9E-8374-C73D0FE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List Paragraph"/>
    <w:pPr>
      <w:widowControl w:val="0"/>
      <w:ind w:firstLine="42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lang w:val="en-US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2</cp:revision>
  <dcterms:created xsi:type="dcterms:W3CDTF">2023-08-01T06:06:00Z</dcterms:created>
  <dcterms:modified xsi:type="dcterms:W3CDTF">2023-08-01T06:06:00Z</dcterms:modified>
</cp:coreProperties>
</file>