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Руководство пользователя EDC33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Об устройстве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Задействует светодиод с 9 ядрами UHi 20 MAX с яркостью до 4000 люмен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Оптическая система в сочетании с кристаллическим покрытием и «технологией высокоточной цифровой оптики» (PDOT)</w:t>
      </w:r>
    </w:p>
    <w:p>
      <w:pPr>
        <w:pStyle w:val="Normal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· Пиковая интенсивность луча </w:t>
      </w:r>
      <w:r>
        <w:rPr>
          <w:rFonts w:eastAsia="Times New Roman" w:cs="Arial" w:ascii="Arial" w:hAnsi="Arial"/>
          <w:color w:val="202124"/>
          <w:kern w:val="0"/>
          <w:sz w:val="24"/>
          <w:szCs w:val="24"/>
          <w:shd w:fill="FFFFFF" w:val="clear"/>
          <w:lang w:val="ru-RU" w:eastAsia="ru-RU"/>
        </w:rPr>
        <w:t>—</w:t>
      </w:r>
      <w:r>
        <w:rPr>
          <w:rFonts w:eastAsia="等线" w:cs="Times New Roman" w:ascii="Arial" w:hAnsi="Arial"/>
          <w:sz w:val="24"/>
          <w:szCs w:val="24"/>
        </w:rPr>
        <w:t xml:space="preserve"> 54 500 кд и максимальная дальность 450 метров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· 4 уровня яркости на выбор; </w:t>
      </w:r>
      <w:r>
        <w:rPr>
          <w:rFonts w:eastAsia="等线" w:cs="Times New Roman" w:ascii="Arial" w:hAnsi="Arial"/>
          <w:sz w:val="24"/>
          <w:szCs w:val="24"/>
          <w:lang w:val="ru-RU"/>
        </w:rPr>
        <w:t>д</w:t>
      </w:r>
      <w:r>
        <w:rPr>
          <w:rFonts w:eastAsia="等线" w:cs="Times New Roman" w:ascii="Arial" w:hAnsi="Arial"/>
          <w:sz w:val="24"/>
          <w:szCs w:val="24"/>
        </w:rPr>
        <w:t>оступ к режимам ПОИСК и LUMIN SHIELD™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Питание от встроенного литий-ионного аккумулятора емкостью 4000 мАч обеспечивает время автономной работы до 63 часов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Кнопка блокировки обеспечивает управление режимами частичной и полной блокировки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Индикаторы питания сообщают оставшийся уровень заряда аккумулятора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Интеллектуальная схема зарядки литий-ионного аккумулятора с зарядным портом USB-C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Технология Advanced Power Cut-Off (APC) обеспечивает сверхнизкое энергопотребление в режиме ожидания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Высокоэффективная схема постоянного тока обеспечивает стабильную работу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Встроенный модуль усовершенствованного регулирования температуры (ATR) (патент № ZL201510534543.6)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Оптические линзы с двусторонним покрытием, устойчивым к царапинам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Изготовлен из алюминиевого сплава военного назначения 7075-T6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Твёрдое анодирование военного класса HA III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Возможность вертикальной установки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Водо- и пыленепроницаемость в соответствии со стандартом IP68 (возможность погружения под воду на глубину до 2 метров)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Ударопрочность при падении с высоты до 2 метров</w:t>
      </w:r>
    </w:p>
    <w:p>
      <w:pPr>
        <w:pStyle w:val="Normal"/>
        <w:spacing w:lineRule="atLeast" w:line="0"/>
        <w:jc w:val="left"/>
        <w:rPr/>
      </w:pPr>
      <w:r>
        <w:rPr/>
        <w:drawing>
          <wp:inline distT="0" distB="0" distL="0" distR="0">
            <wp:extent cx="5866765" cy="3253105"/>
            <wp:effectExtent l="0" t="0" r="0" b="0"/>
            <wp:docPr id="1" name="Изображение 1" descr="Macintosh HD:Users:mac:Downloads:IMG_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mac:Downloads:IMG_237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Параметры устройства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Длина: 115,6 мм (4,55 дюйма)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Диаметр головной части: 25,4 мм (1,00 дюйма)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Диаметр корпуса: 24,0 мм (0,94 дюйма)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Вес: 121 г (4,27 унции) (без учета клипсы)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        </w:t>
      </w:r>
      <w:r>
        <w:rPr>
          <w:rFonts w:eastAsia="等线" w:cs="Times New Roman" w:ascii="Arial" w:hAnsi="Arial"/>
          <w:sz w:val="24"/>
          <w:szCs w:val="24"/>
        </w:rPr>
        <w:t>127 г (4,48 унции) (с учетом клипсы)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Комплектующие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Ремешок, зарядный кабель USB-C, клипса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tbl>
      <w:tblPr>
        <w:tblStyle w:val="a9"/>
        <w:tblpPr w:vertAnchor="text" w:horzAnchor="page" w:leftFromText="180" w:rightFromText="180" w:tblpX="724" w:tblpY="477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5"/>
        <w:gridCol w:w="1331"/>
        <w:gridCol w:w="1222"/>
        <w:gridCol w:w="1439"/>
        <w:gridCol w:w="1352"/>
        <w:gridCol w:w="1193"/>
        <w:gridCol w:w="1993"/>
      </w:tblGrid>
      <w:tr>
        <w:trPr/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</w:rPr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LUMIN SHIELD™ (</w:t>
            </w:r>
            <w:r>
              <w:rPr>
                <w:rFonts w:eastAsia="等线" w:cs="Times New Roman"/>
                <w:sz w:val="24"/>
                <w:szCs w:val="24"/>
                <w:lang w:val="ru-RU" w:eastAsia="zh-CN" w:bidi="ar-SA"/>
              </w:rPr>
              <w:t>Широкий луч</w:t>
            </w: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12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SEARCH (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Узкий луч</w:t>
            </w: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ВЫСОКИЙ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СРЕДНИЙ</w:t>
            </w:r>
          </w:p>
        </w:tc>
        <w:tc>
          <w:tcPr>
            <w:tcW w:w="11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НИЗКИЙ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СВЕРХНИЗКИЙ</w:t>
            </w:r>
          </w:p>
        </w:tc>
      </w:tr>
      <w:tr>
        <w:trPr/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Яркость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 xml:space="preserve">4,000 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люменов</w:t>
            </w:r>
          </w:p>
        </w:tc>
        <w:tc>
          <w:tcPr>
            <w:tcW w:w="12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 xml:space="preserve">1,700 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люменов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 xml:space="preserve">1,200 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люменов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 xml:space="preserve">300 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люменов</w:t>
            </w:r>
          </w:p>
        </w:tc>
        <w:tc>
          <w:tcPr>
            <w:tcW w:w="11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 xml:space="preserve">70 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люменов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 xml:space="preserve">5 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люменов</w:t>
            </w:r>
          </w:p>
        </w:tc>
      </w:tr>
      <w:tr>
        <w:trPr/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  <w:lang w:val="ru-RU"/>
              </w:rPr>
            </w:pPr>
            <w:r>
              <w:rPr>
                <w:rFonts w:eastAsia="等线" w:cs="Times New Roman"/>
                <w:sz w:val="24"/>
                <w:szCs w:val="24"/>
                <w:lang w:val="ru-RU" w:eastAsia="zh-CN" w:bidi="ar-SA"/>
              </w:rPr>
              <w:t>Время работы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—</w:t>
            </w:r>
          </w:p>
        </w:tc>
        <w:tc>
          <w:tcPr>
            <w:tcW w:w="12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—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ч 31 мин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6 ч 58 мин</w:t>
            </w:r>
          </w:p>
        </w:tc>
        <w:tc>
          <w:tcPr>
            <w:tcW w:w="11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31 ч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63 ч</w:t>
            </w:r>
          </w:p>
        </w:tc>
      </w:tr>
      <w:tr>
        <w:trPr/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Дальность луча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400 м</w:t>
            </w:r>
          </w:p>
        </w:tc>
        <w:tc>
          <w:tcPr>
            <w:tcW w:w="12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450 м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208 м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182 м</w:t>
            </w:r>
          </w:p>
        </w:tc>
        <w:tc>
          <w:tcPr>
            <w:tcW w:w="11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93 м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25 м</w:t>
            </w:r>
          </w:p>
        </w:tc>
      </w:tr>
      <w:tr>
        <w:trPr/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Пиковая интенсивность луча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40,505 кд</w:t>
            </w:r>
          </w:p>
        </w:tc>
        <w:tc>
          <w:tcPr>
            <w:tcW w:w="12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54,500 кд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10,500 кд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8,305 кд</w:t>
            </w:r>
          </w:p>
        </w:tc>
        <w:tc>
          <w:tcPr>
            <w:tcW w:w="11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1,903 кд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163 кд</w:t>
            </w:r>
          </w:p>
        </w:tc>
      </w:tr>
      <w:tr>
        <w:trPr/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Ударопрочность</w:t>
            </w:r>
          </w:p>
        </w:tc>
        <w:tc>
          <w:tcPr>
            <w:tcW w:w="8530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Times New Roman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2 м</w:t>
            </w:r>
          </w:p>
        </w:tc>
      </w:tr>
      <w:tr>
        <w:trPr/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Степень защиты</w:t>
            </w:r>
          </w:p>
        </w:tc>
        <w:tc>
          <w:tcPr>
            <w:tcW w:w="8530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IP68, 2 м (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водойстойкость и погружение в воду</w:t>
            </w: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)</w:t>
            </w:r>
          </w:p>
        </w:tc>
      </w:tr>
    </w:tbl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Технические характеристики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Примечание. </w:t>
      </w:r>
      <w:r>
        <w:rPr>
          <w:rFonts w:eastAsia="等线" w:cs="Times New Roman" w:ascii="Arial" w:hAnsi="Arial"/>
          <w:sz w:val="24"/>
          <w:szCs w:val="24"/>
          <w:lang w:val="ru-RU"/>
        </w:rPr>
        <w:t>Приведенные</w:t>
      </w:r>
      <w:r>
        <w:rPr>
          <w:rFonts w:eastAsia="等线" w:cs="Times New Roman" w:ascii="Arial" w:hAnsi="Arial"/>
          <w:sz w:val="24"/>
          <w:szCs w:val="24"/>
        </w:rPr>
        <w:t xml:space="preserve"> данные получены в лабораторных условиях при использовании встроенного литий-ионного аккумулятора (4000 мАч). При эксплуатации характеристики могут отличаться вследствие иных условий окружающей среды.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 xml:space="preserve">Функция зарядки 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EDC33 оснащен интеллектуальной системой зарядки. Пожалуйста, зарядите аккумулятор перед </w:t>
      </w:r>
      <w:r>
        <w:rPr>
          <w:rFonts w:eastAsia="等线" w:cs="Times New Roman" w:ascii="Arial" w:hAnsi="Arial"/>
          <w:sz w:val="24"/>
          <w:szCs w:val="24"/>
          <w:lang w:val="ru-RU"/>
        </w:rPr>
        <w:t>эксплуатацией впервые</w:t>
      </w:r>
      <w:r>
        <w:rPr>
          <w:rFonts w:eastAsia="等线" w:cs="Times New Roman" w:ascii="Arial" w:hAnsi="Arial"/>
          <w:sz w:val="24"/>
          <w:szCs w:val="24"/>
        </w:rPr>
        <w:t>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Подключение к источнику питания:</w:t>
      </w:r>
      <w:r>
        <w:rPr>
          <w:rFonts w:eastAsia="等线" w:cs="Times New Roman" w:ascii="Arial" w:hAnsi="Arial"/>
          <w:sz w:val="24"/>
          <w:szCs w:val="24"/>
        </w:rPr>
        <w:t xml:space="preserve"> как показано на иллютрации, поверните крышку USB на задней стороне в </w:t>
      </w:r>
      <w:r>
        <w:rPr>
          <w:rFonts w:eastAsia="等线" w:cs="Times New Roman" w:ascii="Arial" w:hAnsi="Arial"/>
          <w:sz w:val="24"/>
          <w:szCs w:val="24"/>
          <w:lang w:val="ru-RU"/>
        </w:rPr>
        <w:t xml:space="preserve">следующем </w:t>
      </w:r>
      <w:r>
        <w:rPr>
          <w:rFonts w:eastAsia="等线" w:cs="Times New Roman" w:ascii="Arial" w:hAnsi="Arial"/>
          <w:sz w:val="24"/>
          <w:szCs w:val="24"/>
        </w:rPr>
        <w:t xml:space="preserve">направлении </w:t>
      </w:r>
      <w:r>
        <w:rPr/>
        <w:drawing>
          <wp:inline distT="0" distB="0" distL="0" distR="0">
            <wp:extent cx="410210" cy="139065"/>
            <wp:effectExtent l="0" t="0" r="0" b="0"/>
            <wp:docPr id="2" name="图片 1957926130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57926130" descr="箭头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等线" w:cs="Times New Roman" w:ascii="Arial" w:hAnsi="Arial"/>
          <w:sz w:val="24"/>
          <w:szCs w:val="24"/>
        </w:rPr>
        <w:t>, и используйте кабель USB для подключения внешнего источника питания (например, адаптера USB, блока питания или других зарядных устройств с USB-входом) к порту зарядки для начала зарядки.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  <w:lang w:val="ru-RU"/>
        </w:rPr>
        <w:t>Сообщение статуса зарядки</w:t>
      </w:r>
      <w:r>
        <w:rPr>
          <w:rFonts w:eastAsia="等线" w:cs="Times New Roman" w:ascii="Arial" w:hAnsi="Arial"/>
          <w:b/>
          <w:sz w:val="24"/>
          <w:szCs w:val="24"/>
        </w:rPr>
        <w:t>:</w:t>
      </w:r>
      <w:r>
        <w:rPr>
          <w:rFonts w:eastAsia="等线" w:cs="Times New Roman" w:ascii="Arial" w:hAnsi="Arial"/>
          <w:sz w:val="24"/>
          <w:szCs w:val="24"/>
        </w:rPr>
        <w:t xml:space="preserve"> во время зарядки зеленые индикаторы питания постепенно перейдут от мигания к беспрерывному горению, сообщая таким образом уровень заряда аккумулятора. Когда аккумулятор полностью зарядится, EDC33 остановит зарядкк, и индикаторы питания начнут беспрерывно гореть, информируя таким образом пользователя.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Во время зарядки режим освещения остается доступным (за исключением режимов LUMIN SHIELD™ и ПОИСКА).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Время зарядки составляет прибл. 2 часа (при зарядке посредством адаптера 5 В / 2 А).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При полной зарядке время работы устройства в режиме ожидания составляет прибл. 12 месяцев.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Тактическое мгновенное освещение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· </w:t>
      </w:r>
      <w:r>
        <w:rPr>
          <w:rFonts w:eastAsia="等线" w:cs="Times New Roman" w:ascii="Arial" w:hAnsi="Arial"/>
          <w:sz w:val="24"/>
          <w:szCs w:val="24"/>
          <w:lang w:val="ru-RU"/>
        </w:rPr>
        <w:t>З</w:t>
      </w:r>
      <w:r>
        <w:rPr>
          <w:rFonts w:eastAsia="等线" w:cs="Times New Roman" w:ascii="Arial" w:hAnsi="Arial"/>
          <w:sz w:val="24"/>
          <w:szCs w:val="24"/>
        </w:rPr>
        <w:t>ажмите наполовину заднюю кнопку и удерживайте ее, чтобы быстро перейти в режим ПОИСКА. Отпустите кнопку, чтобы выйти из него.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Зажмите до конца заднюю кнопку и удерживайте ее, чтобы быстро перейти в режим LUMIN SHIELD™. Отпустите кнопку, чтобы выйти из него.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Включение / Выключение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Включение: когда фонарь выключен, зажмите до конца и отпустите заднюю кнопку, чтобы его активировать.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Выключение: когда фонарь активирован, зажмите до конца и отпустите заднюю кнопку, чтобы выключить его.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Уровни яркости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Когда фонарь активирован, нажимайте наполовину заднюю кнопку, чтобы переключаться между следующими уровнями яркости: СВЕРХНИЗКИЙ – НИЗКИЙ – СРЕДНИЙ – ВЫСОКИЙ. При повторной активации фонарь сразу перейдет к тому уровню яркости, который был сохранен в последний раз.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Быстрый доступ к режиму ПОИСКА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Когда фонарь активирован / выключен, наполовину зажмите и удерживайте заднюю кнопку, чтобы быстро перейти в режим ПОИСКА (1700 люмен). Отпустите кнопку, чтобы вернуться к тому режиму, в котором устройство находилось прежде.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Быстрый доступ к режиму LUMIN SHIELD™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Когда фонарь активирован / выключен, полностью зажмите и удерживайте заднюю кнопку, чтобы быстро перейти в режим LUMIN SHIELD™ (4000 люмен). Отпустите кнопку, чтобы вернуться к тому режиму, в котором устройство находилось прежде.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Блокировка / Разблокировка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EDC33 имеет два режима блокировки (режим </w:t>
      </w:r>
      <w:r>
        <w:rPr>
          <w:rFonts w:eastAsia="等线" w:cs="Times New Roman" w:ascii="Arial" w:hAnsi="Arial"/>
          <w:sz w:val="24"/>
          <w:szCs w:val="24"/>
          <w:lang w:val="ru-RU"/>
        </w:rPr>
        <w:t>частичной</w:t>
      </w:r>
      <w:r>
        <w:rPr>
          <w:rFonts w:eastAsia="等线" w:cs="Times New Roman" w:ascii="Arial" w:hAnsi="Arial"/>
          <w:sz w:val="24"/>
          <w:szCs w:val="24"/>
        </w:rPr>
        <w:t xml:space="preserve"> и полной блокировки).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Режим частичной блокировки: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Когда фонарь активирован, сдвиньте вверх кнопку блокировки, в то же время наполовину или полностью зажимая и удерживая заднюю кнопку, чтобы перейти в режим частичной блокировки. После чего значок замка появится под кнопкой блокировки.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В режиме частичной блокировки наполовину зажмите и удерживайте заднюю кнопку, чтобы перейти в режим ПОИСКА; зажмите заднюю кнопку до конца и удерживайте ее, чтобы перейти в режим LUMIN SHIELD™.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Примечание. Чтобы перейти в режим полной блокировки, сначала сдвиньте кнопку блокировки вниз, чтобы разблокировать фонарь, после чего активируйте фонарь, а затем сдвиньте кнопку блокировки вверх. Фонарь выйдет из режима частичной блокировки и сразу перейдет в режим полной блокировки. 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Режим полной блокировки (настройка по умолчанию)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Когда </w:t>
      </w:r>
      <w:r>
        <w:rPr>
          <w:rFonts w:eastAsia="等线" w:cs="Times New Roman" w:ascii="Arial" w:hAnsi="Arial"/>
          <w:sz w:val="24"/>
          <w:szCs w:val="24"/>
          <w:lang w:val="ru-RU"/>
        </w:rPr>
        <w:t>фонарь</w:t>
      </w:r>
      <w:r>
        <w:rPr>
          <w:rFonts w:eastAsia="等线" w:cs="Times New Roman" w:ascii="Arial" w:hAnsi="Arial"/>
          <w:sz w:val="24"/>
          <w:szCs w:val="24"/>
        </w:rPr>
        <w:t xml:space="preserve"> включен / выключен, сдвиньте кнопку блокировки вверх, чтобы перейти в режим полной блокировки. Под кнопкой блокировки можно будет увидеть значок замка, указывающий на то, что задняя кнопка недоступна для активации фонаря.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Для разблокировки: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В любом из режимов блокировки сдвиньте вниз кнопку блокировки, чтобы выйти из режима блокировки.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ATR (усовершенствованное регулирование температуры)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Встроенная технология ATR регулирует выходную мощность EDC33 в зависимости от условий работы и окружающей среды для поддержания оптимальной производительности.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  <w:lang w:val="ru-RU"/>
        </w:rPr>
        <w:t>Сообщение уровня заряда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При активации фонаря индикаторы питания начнут беспрерывно гореть, сообщая оставшийся уровень заряда аккумулятора.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Наполовину зажмите заднюю кнопку, и индикаторы питания загорятся, сообщая оставшийся уровень заряда аккумулятора (кроме режимов блокировки).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Примечание.</w:t>
      </w:r>
      <w:r>
        <w:rPr>
          <w:rFonts w:eastAsia="等线" w:cs="Times New Roman" w:ascii="Arial" w:hAnsi="Arial"/>
          <w:sz w:val="24"/>
          <w:szCs w:val="24"/>
        </w:rPr>
        <w:t xml:space="preserve"> Аккумулятор следует перезарядить, если луч становится тусклым или фонарь перестает реагировать на команды </w:t>
      </w:r>
      <w:r>
        <w:rPr>
          <w:rFonts w:eastAsia="等线" w:cs="Times New Roman" w:ascii="Arial" w:hAnsi="Arial"/>
          <w:sz w:val="24"/>
          <w:szCs w:val="24"/>
          <w:lang w:val="ru-RU"/>
        </w:rPr>
        <w:t>вследствие</w:t>
      </w:r>
      <w:r>
        <w:rPr>
          <w:rFonts w:eastAsia="等线" w:cs="Times New Roman" w:ascii="Arial" w:hAnsi="Arial"/>
          <w:sz w:val="24"/>
          <w:szCs w:val="24"/>
        </w:rPr>
        <w:t xml:space="preserve"> низкого уровня заряда.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tbl>
      <w:tblPr>
        <w:tblStyle w:val="a9"/>
        <w:tblpPr w:vertAnchor="text" w:horzAnchor="page" w:leftFromText="180" w:rightFromText="180" w:tblpX="2089" w:tblpY="-2205"/>
        <w:tblW w:w="808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6"/>
        <w:gridCol w:w="5841"/>
      </w:tblGrid>
      <w:tr>
        <w:trPr/>
        <w:tc>
          <w:tcPr>
            <w:tcW w:w="2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等线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等线" w:cs="Times New Roman"/>
                <w:b/>
                <w:bCs/>
                <w:sz w:val="24"/>
                <w:szCs w:val="24"/>
                <w:lang w:val="ru-RU" w:eastAsia="zh-CN" w:bidi="ar-SA"/>
              </w:rPr>
              <w:t>Состояние индикаторов</w:t>
            </w:r>
          </w:p>
        </w:tc>
        <w:tc>
          <w:tcPr>
            <w:tcW w:w="5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等线" w:cs="Times New Roman"/>
                <w:b/>
                <w:bCs/>
                <w:sz w:val="24"/>
                <w:szCs w:val="24"/>
              </w:rPr>
            </w:pPr>
            <w:r>
              <w:rPr>
                <w:rFonts w:eastAsia="等线" w:cs="Times New Roman"/>
                <w:b/>
                <w:bCs/>
                <w:sz w:val="24"/>
                <w:szCs w:val="24"/>
                <w:lang w:val="en-US" w:eastAsia="zh-CN" w:bidi="ar-SA"/>
              </w:rPr>
              <w:t>Уровень заряда</w:t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 xml:space="preserve">4 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гор</w:t>
            </w:r>
            <w:r>
              <w:rPr>
                <w:rFonts w:eastAsia="等线" w:cs="Times New Roman"/>
                <w:sz w:val="24"/>
                <w:szCs w:val="24"/>
                <w:lang w:val="ru-RU" w:eastAsia="zh-CN" w:bidi="ar-SA"/>
              </w:rPr>
              <w:t>я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т беспрерывно</w:t>
            </w:r>
          </w:p>
        </w:tc>
        <w:tc>
          <w:tcPr>
            <w:tcW w:w="5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75% – 100%</w:t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 xml:space="preserve">3 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горят беспрерывно</w:t>
            </w:r>
          </w:p>
        </w:tc>
        <w:tc>
          <w:tcPr>
            <w:tcW w:w="5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50% – 75%</w:t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 xml:space="preserve">2 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горят беспрерывно</w:t>
            </w:r>
          </w:p>
        </w:tc>
        <w:tc>
          <w:tcPr>
            <w:tcW w:w="5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25% – 50%</w:t>
            </w:r>
          </w:p>
        </w:tc>
      </w:tr>
      <w:tr>
        <w:trPr/>
        <w:tc>
          <w:tcPr>
            <w:tcW w:w="2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 xml:space="preserve">1 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горит беспрерывно</w:t>
            </w:r>
          </w:p>
        </w:tc>
        <w:tc>
          <w:tcPr>
            <w:tcW w:w="5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等线" w:cs="Calibri"/>
                <w:sz w:val="24"/>
                <w:szCs w:val="24"/>
              </w:rPr>
            </w:pP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0% – 25% (</w:t>
            </w:r>
            <w:r>
              <w:rPr>
                <w:rFonts w:eastAsia="等线" w:cs="Times New Roman"/>
                <w:sz w:val="24"/>
                <w:szCs w:val="24"/>
                <w:lang w:val="en-US" w:eastAsia="zh-CN" w:bidi="ar-SA"/>
              </w:rPr>
              <w:t>Пожалуйста, подключите к источнику питания как можно скорее</w:t>
            </w:r>
            <w:r>
              <w:rPr>
                <w:rFonts w:eastAsia="等线" w:cs="Calibri"/>
                <w:sz w:val="24"/>
                <w:szCs w:val="24"/>
                <w:lang w:val="en-US" w:eastAsia="zh-CN" w:bidi="ar-SA"/>
              </w:rPr>
              <w:t>)</w:t>
            </w:r>
          </w:p>
        </w:tc>
      </w:tr>
    </w:tbl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b/>
          <w:sz w:val="24"/>
          <w:szCs w:val="24"/>
        </w:rPr>
      </w:pPr>
      <w:r>
        <w:rPr>
          <w:rFonts w:eastAsia="等线" w:cs="Times New Roman" w:ascii="Arial" w:hAnsi="Arial"/>
          <w:b/>
          <w:sz w:val="24"/>
          <w:szCs w:val="24"/>
        </w:rPr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b/>
          <w:sz w:val="24"/>
          <w:szCs w:val="24"/>
        </w:rPr>
      </w:pPr>
      <w:r>
        <w:rPr>
          <w:rFonts w:eastAsia="等线" w:cs="Times New Roman" w:ascii="Arial" w:hAnsi="Arial"/>
          <w:b/>
          <w:sz w:val="24"/>
          <w:szCs w:val="24"/>
        </w:rPr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b/>
          <w:sz w:val="24"/>
          <w:szCs w:val="24"/>
        </w:rPr>
      </w:pPr>
      <w:r>
        <w:rPr>
          <w:rFonts w:eastAsia="等线" w:cs="Times New Roman" w:ascii="Arial" w:hAnsi="Arial"/>
          <w:b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Функция защиты датчик</w:t>
      </w:r>
      <w:r>
        <w:rPr>
          <w:rFonts w:eastAsia="等线" w:cs="Times New Roman" w:ascii="Arial" w:hAnsi="Arial"/>
          <w:b/>
          <w:sz w:val="24"/>
          <w:szCs w:val="24"/>
          <w:lang w:val="ru-RU"/>
        </w:rPr>
        <w:t>ом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Когда фонарь находится в режиме ВЫСОКОГО уровня яркости в случае, если встроенный оптический датчик обнаруживает препятствие впереди, яркость фонаря автоматически уменьшается до 300 люмен, чтобы предотвратить перегрев устройства и продлить срок службы фонаря. Как только препятствие будет устранено, фонарь вернется к прежнему уровню яркости. Чувствительность датчика может отличаться вследствие различий в цвете и материале препятствий.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Примечание.</w:t>
      </w:r>
      <w:r>
        <w:rPr>
          <w:rFonts w:eastAsia="等线" w:cs="Times New Roman" w:ascii="Arial" w:hAnsi="Arial"/>
          <w:sz w:val="24"/>
          <w:szCs w:val="24"/>
        </w:rPr>
        <w:t xml:space="preserve"> </w:t>
      </w:r>
      <w:r>
        <w:rPr>
          <w:rFonts w:eastAsia="等线" w:cs="Times New Roman" w:ascii="Arial" w:hAnsi="Arial"/>
          <w:b/>
          <w:sz w:val="24"/>
          <w:szCs w:val="24"/>
        </w:rPr>
        <w:t>Важно сохранять переднюю линзу чистой, чтобы встроенный датчик работал без перебоев и обеспечивал оптимальную производительность.</w:t>
      </w:r>
    </w:p>
    <w:p>
      <w:pPr>
        <w:pStyle w:val="Normal"/>
        <w:spacing w:lineRule="atLeast" w:line="0"/>
        <w:jc w:val="left"/>
        <w:rPr/>
      </w:pPr>
      <w:r>
        <w:rPr/>
        <w:drawing>
          <wp:inline distT="0" distB="0" distL="0" distR="0">
            <wp:extent cx="5067300" cy="2179955"/>
            <wp:effectExtent l="0" t="0" r="0" b="0"/>
            <wp:docPr id="3" name="Изображение 2" descr="Macintosh HD:Users:mac:Downloads:IMG_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Macintosh HD:Users:mac:Downloads:IMG_23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0"/>
        <w:jc w:val="left"/>
        <w:rPr/>
      </w:pPr>
      <w:r>
        <w:rPr>
          <w:rFonts w:eastAsia="等线" w:cs="Menlo Bold" w:ascii="Arial" w:hAnsi="Arial"/>
          <w:b/>
          <w:sz w:val="24"/>
          <w:szCs w:val="24"/>
        </w:rPr>
        <w:t>⚠</w:t>
      </w:r>
      <w:r>
        <w:rPr>
          <w:rFonts w:eastAsia="等线" w:cs="Times New Roman" w:ascii="Arial" w:hAnsi="Arial"/>
          <w:b/>
          <w:sz w:val="24"/>
          <w:szCs w:val="24"/>
        </w:rPr>
        <w:t xml:space="preserve"> </w:t>
      </w:r>
      <w:r>
        <w:rPr>
          <w:rFonts w:eastAsia="等线" w:cs="Times New Roman" w:ascii="Arial" w:hAnsi="Arial"/>
          <w:b/>
          <w:sz w:val="24"/>
          <w:szCs w:val="24"/>
          <w:lang w:val="ru-RU"/>
        </w:rPr>
        <w:t>Меры предосторожности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Продукт предназначен для использования взрослыми в возрасте от 18 лет. Пожалуйста, храните этот продукт в недоступном для детей месте.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</w:t>
        <w:tab/>
        <w:t>ВНИМАНИЕ! Возможно опасное излучение! НЕ смотрите непосредственно на луч фонаря и не направляйте луч кому-либо в глаза!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При длительной работе устройство будет сильно нагреваться. Пожалуйста, соблюдайте осторожность при эксплуатации. Рекомендуется не использовать фонарь высоких уровнях яркости в течение длительного времени во избежание потенциальных ожогов и повреждения устройства.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НЕ накрывайте чем-либо устройство, а также не размещайте предметы рядом с его головной частью, так как это может привести к его повреждению или несчастным случаям вследствие высоких температур.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НЕ используйте устройство для освещения легковоспламеняющихся или взрывоопасных материалов, так как высокая температура может привести к возгоранию или взрыву.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Пожалуйста, используйте устройство стандартным способом, держа его в руках, во избежание несчастных случаев в случае его неисправности.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НЕ погружайте устройство в горячую жидкость. Это может привести к непоправимому повреждению фонаря вследствие разницы давления воздуха внутри и снаружи корпуса.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· Если устройство помещено в закрытую или легковоспламеняющуюся среду, например, в карман или рюкзак, или если оно не используется в течение длительного периода времени, выключите его и активируйте режим блокировки во избежание случайной активации и опасных ситуаций вследствие перегрева. 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· НЕ подвергайте устройство воздействию температур выше 60°C (140°F) в течение длительного времени, так как это создает риск взрыва или возгорания аккумулятора.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· Пожалуйста, заряжайте устройство с помощью оригинального зарядного кабеля во избежание сокращения срока службы аккумулятора. 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· Пожалуйста, перезаряжайте устройство каждые 6 месяцев, если оно не используется в течение длительного времени.  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· НЕ разбирайте устройство и НЕ вносите какие-либо изменения в его конструкцию, так как это приведет к его повреждению и аннулирует гарантию на продукт. Полную информацию о гарантии можно найти в разделе «Гарантийного обслуживания» текущего руководства.  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4"/>
          <w:szCs w:val="24"/>
        </w:rPr>
      </w:pPr>
      <w:r>
        <w:rPr>
          <w:rFonts w:eastAsia="等线" w:cs="Times New Roman" w:ascii="Arial" w:hAnsi="Arial"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Menlo Bold" w:ascii="Arial" w:hAnsi="Arial"/>
          <w:b/>
          <w:sz w:val="24"/>
          <w:szCs w:val="24"/>
        </w:rPr>
        <w:t>⚠</w:t>
      </w:r>
      <w:r>
        <w:rPr>
          <w:rFonts w:eastAsia="等线" w:cs="Times New Roman" w:ascii="Arial" w:hAnsi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eastAsia="等线" w:cs="Times New Roman" w:ascii="Arial" w:hAnsi="Arial"/>
          <w:b/>
          <w:sz w:val="24"/>
          <w:szCs w:val="24"/>
          <w:lang w:val="ru-RU"/>
        </w:rPr>
        <w:t>Безопасность аккумулятора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Неправильное использование устройств со встроенными литий-ионными аккумуляторами может привести к серьезному повреждению элемента питания или угрозе возникновения опасной ситуации, например возгоранию или взрыву. НЕ используйте устройство, если оно повреждено. НЕ разбирайте, не прокалывайте, не разрезайте, не разбивайте и не поджигайте устройство. При обнаружении каких-либо утечек или необычного запаха немедленно прекратите использование устройства. Утилизируйте устройство / элементы питания в соответствии с действующим местным законодательством и принятыми правилами.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b/>
          <w:sz w:val="24"/>
          <w:szCs w:val="24"/>
        </w:rPr>
      </w:pPr>
      <w:r>
        <w:rPr>
          <w:rFonts w:eastAsia="等线" w:cs="Times New Roman" w:ascii="Arial" w:hAnsi="Arial"/>
          <w:b/>
          <w:sz w:val="24"/>
          <w:szCs w:val="24"/>
        </w:rPr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b/>
          <w:sz w:val="24"/>
          <w:szCs w:val="24"/>
        </w:rPr>
        <w:t>Гарантийное обслуживание</w:t>
      </w:r>
      <w:r>
        <w:rPr>
          <w:rFonts w:eastAsia="等线"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Вся продукция NITECORE® обладает гарантией. При наличии у продукта каких-либо дефектов или брака его можно обменять у местного дистрибьютора в течение 15 дней с даты покупки. После этого неисправную продукцию NITECORE® можно бесплатно починить в течение 24 месяцев со дня покупки. По прошествии 24 месяцев начинает действовать ограниченная гарантия, которая покрывает стоимость работы и обслуживания, но не распространяется на оплату комплектующих и запасных частей. Гарантия аннулируется в случае, если: 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1. продукция была сломана или в ее конструкцию были внесены изменения неофициальными лицами 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>2. продукция была повреждена вследствие неправильного пользования</w:t>
      </w:r>
    </w:p>
    <w:p>
      <w:pPr>
        <w:pStyle w:val="Normal"/>
        <w:spacing w:lineRule="atLeast" w:line="0"/>
        <w:jc w:val="left"/>
        <w:rPr/>
      </w:pPr>
      <w:r>
        <w:rPr>
          <w:rFonts w:eastAsia="等线" w:cs="Times New Roman" w:ascii="Arial" w:hAnsi="Arial"/>
          <w:sz w:val="24"/>
          <w:szCs w:val="24"/>
        </w:rPr>
        <w:t xml:space="preserve">За последней информацией о продукции и услугах NITECORE®, пожалуйста, обращайтесь к местному дистрибьютору NITECORE® или пишите на почту </w:t>
      </w:r>
      <w:hyperlink r:id="rId5">
        <w:r>
          <w:rPr>
            <w:rStyle w:val="-"/>
            <w:rFonts w:eastAsia="等线" w:cs="Times New Roman" w:ascii="Arial" w:hAnsi="Arial"/>
            <w:sz w:val="24"/>
            <w:szCs w:val="24"/>
          </w:rPr>
          <w:t>service@nitecore.com</w:t>
        </w:r>
      </w:hyperlink>
      <w:r>
        <w:rPr>
          <w:rFonts w:eastAsia="等线" w:cs="Times New Roman" w:ascii="Arial" w:hAnsi="Arial"/>
          <w:sz w:val="24"/>
          <w:szCs w:val="24"/>
        </w:rPr>
        <w:t xml:space="preserve">. </w:t>
      </w:r>
    </w:p>
    <w:p>
      <w:pPr>
        <w:pStyle w:val="Normal"/>
        <w:spacing w:lineRule="atLeast" w:line="0"/>
        <w:jc w:val="left"/>
        <w:rPr/>
      </w:pPr>
      <w:r>
        <w:rPr>
          <w:rFonts w:eastAsia="等线" w:cs="Lucida Grande" w:ascii="Arial" w:hAnsi="Arial"/>
          <w:bCs/>
          <w:sz w:val="24"/>
          <w:szCs w:val="24"/>
        </w:rPr>
        <w:t>※</w:t>
      </w:r>
      <w:r>
        <w:rPr>
          <w:rFonts w:eastAsia="等线" w:cs="Calibri" w:ascii="Arial" w:hAnsi="Arial"/>
          <w:bCs/>
          <w:sz w:val="24"/>
          <w:szCs w:val="24"/>
        </w:rPr>
        <w:t xml:space="preserve"> </w:t>
      </w:r>
      <w:r>
        <w:rPr>
          <w:rFonts w:eastAsia="等线" w:cs="Times New Roman" w:ascii="Arial" w:hAnsi="Arial"/>
          <w:sz w:val="24"/>
          <w:szCs w:val="24"/>
        </w:rPr>
        <w:t>Все изображения, тексты и утверждения, приведенные в рамках данного руководства пользователя, предназначены исключительно в справочных целей. В случае возникновения каких-либо расхождений между данным руководством и информацией, указанной на сайте www.nitecore.com, компания Sysmax Innovations Co., Ltd. оставляет за собой права интерпретировать и изменять содержание данного документа в любое время без предварительного уведомления.</w:t>
      </w:r>
    </w:p>
    <w:p>
      <w:pPr>
        <w:pStyle w:val="Normal"/>
        <w:spacing w:lineRule="atLeast" w:line="0"/>
        <w:jc w:val="left"/>
        <w:rPr>
          <w:rFonts w:ascii="Arial" w:hAnsi="Arial" w:eastAsia="等线" w:cs="Times New Roman"/>
          <w:sz w:val="28"/>
          <w:szCs w:val="28"/>
        </w:rPr>
      </w:pPr>
      <w:r>
        <w:rPr>
          <w:rFonts w:eastAsia="等线" w:cs="Times New Roman" w:ascii="Arial" w:hAnsi="Arial"/>
          <w:sz w:val="28"/>
          <w:szCs w:val="28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</w:compat>
  <w:themeFontLang w:val="en-US" w:eastAsia="zh-CN" w:bidi=""/>
  <w:docVars>
    <w:docVar w:name="commondata" w:val="eyJoZGlkIjoiZDlmZWM3NGYzMzQ4NGRlYzhhNTYzZjY3ZjMzNjE4YzIifQ=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uiPriority="10" w:semiHidden="0" w:unhideWhenUsed="0" w:qFormat="1"/>
    <w:lsdException w:name="Default Paragraph Fon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Pr>
      <w:sz w:val="18"/>
      <w:szCs w:val="18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Pr>
      <w:rFonts w:ascii="Calibri" w:hAnsi="Calibri" w:eastAsia="宋体" w:cs="" w:asciiTheme="minorHAnsi" w:cstheme="minorBidi" w:eastAsiaTheme="minorEastAsia" w:hAnsiTheme="minorHAnsi"/>
      <w:kern w:val="2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469b"/>
    <w:rPr>
      <w:sz w:val="21"/>
      <w:szCs w:val="21"/>
    </w:rPr>
  </w:style>
  <w:style w:type="character" w:styleId="Style17" w:customStyle="1">
    <w:name w:val="Текст комментария Знак"/>
    <w:basedOn w:val="DefaultParagraphFont"/>
    <w:link w:val="Annotationtext"/>
    <w:uiPriority w:val="99"/>
    <w:qFormat/>
    <w:rsid w:val="0040469b"/>
    <w:rPr>
      <w:rFonts w:ascii="Calibri" w:hAnsi="Calibri" w:eastAsia="宋体" w:cs="" w:asciiTheme="minorHAnsi" w:cstheme="minorBidi" w:eastAsiaTheme="minorEastAsia" w:hAnsiTheme="minorHAnsi"/>
      <w:kern w:val="2"/>
      <w:sz w:val="21"/>
      <w:szCs w:val="22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40469b"/>
    <w:rPr>
      <w:rFonts w:ascii="Calibri" w:hAnsi="Calibri" w:eastAsia="宋体" w:cs="" w:asciiTheme="minorHAnsi" w:cstheme="minorBidi" w:eastAsiaTheme="minorEastAsia" w:hAnsiTheme="minorHAnsi"/>
      <w:b/>
      <w:bCs/>
      <w:kern w:val="2"/>
      <w:sz w:val="21"/>
      <w:szCs w:val="22"/>
    </w:rPr>
  </w:style>
  <w:style w:type="character" w:styleId="-">
    <w:name w:val="Hyperlink"/>
    <w:basedOn w:val="DefaultParagraphFont"/>
    <w:uiPriority w:val="99"/>
    <w:unhideWhenUsed/>
    <w:rsid w:val="003b056a"/>
    <w:rPr>
      <w:color w:val="0563C1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pPr/>
    <w:rPr>
      <w:sz w:val="18"/>
      <w:szCs w:val="18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5"/>
    <w:uiPriority w:val="99"/>
    <w:unhideWhenUsed/>
    <w:qFormat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Style26">
    <w:name w:val="Header"/>
    <w:basedOn w:val="Normal"/>
    <w:link w:val="Style14"/>
    <w:uiPriority w:val="99"/>
    <w:unhideWhenUsed/>
    <w:qFormat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/>
    </w:pPr>
    <w:rPr/>
  </w:style>
  <w:style w:type="paragraph" w:styleId="Annotationtext">
    <w:name w:val="annotation text"/>
    <w:basedOn w:val="Normal"/>
    <w:link w:val="Style17"/>
    <w:uiPriority w:val="99"/>
    <w:unhideWhenUsed/>
    <w:qFormat/>
    <w:rsid w:val="0040469b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40469b"/>
    <w:pPr/>
    <w:rPr>
      <w:b/>
      <w:bCs/>
    </w:rPr>
  </w:style>
  <w:style w:type="paragraph" w:styleId="Revision">
    <w:name w:val="Revision"/>
    <w:uiPriority w:val="99"/>
    <w:unhideWhenUsed/>
    <w:qFormat/>
    <w:rsid w:val="008149da"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service@nitecore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17FD-4CD9-084B-9EB4-7F1BFB86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Application>LibreOffice/7.5.5.2$Windows_X86_64 LibreOffice_project/ca8fe7424262805f223b9a2334bc7181abbcbf5e</Application>
  <AppVersion>15.0000</AppVersion>
  <Pages>5</Pages>
  <Words>1535</Words>
  <Characters>9930</Characters>
  <CharactersWithSpaces>11360</CharactersWithSpaces>
  <Paragraphs>139</Paragraph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2020-06-29T07:48:00Z</dcterms:created>
  <dc:creator>Li Nettie</dc:creator>
  <dc:description/>
  <dc:language>ru-RU</dc:language>
  <cp:lastModifiedBy/>
  <cp:lastPrinted>2022-11-01T01:28:00Z</cp:lastPrinted>
  <dcterms:modified xsi:type="dcterms:W3CDTF">2023-12-04T18:11:13Z</dcterms:modified>
  <cp:revision>355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3138CF108D1C49B3AAF6F70778552B4B</vt:lpwstr>
  </property>
  <property fmtid="{D5CDD505-2E9C-101B-9397-08002B2CF9AE}" pid="3" name="KSOProductBuildVer">
    <vt:lpwstr>2052-12.1.0.15712</vt:lpwstr>
  </property>
</Properties>
</file>