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8.jpeg" ContentType="image/jpeg"/>
  <Override PartName="/word/media/image7.png" ContentType="image/png"/>
  <Override PartName="/word/media/image9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bookmarkStart w:id="0" w:name="OLE_LINK1"/>
      <w:r>
        <w:rPr>
          <w:rFonts w:cs="Times New Roman" w:ascii="Times New Roman" w:hAnsi="Times New Roman"/>
          <w:b/>
          <w:lang w:val="ru-RU"/>
        </w:rPr>
        <w:t xml:space="preserve">Руководство пользователя </w:t>
      </w:r>
      <w:r>
        <w:rPr>
          <w:rFonts w:cs="Times New Roman" w:ascii="Times New Roman" w:hAnsi="Times New Roman"/>
          <w:b/>
        </w:rPr>
        <w:t>NU</w:t>
      </w:r>
      <w:r>
        <w:rPr>
          <w:rFonts w:cs="Times New Roman" w:ascii="Times New Roman" w:hAnsi="Times New Roman"/>
          <w:b/>
          <w:lang w:val="ru-RU"/>
        </w:rPr>
        <w:t xml:space="preserve">25 / </w:t>
      </w:r>
      <w:r>
        <w:rPr>
          <w:rFonts w:cs="Times New Roman" w:ascii="Times New Roman" w:hAnsi="Times New Roman"/>
          <w:b/>
        </w:rPr>
        <w:t>NU</w:t>
      </w:r>
      <w:r>
        <w:rPr>
          <w:rFonts w:cs="Times New Roman" w:ascii="Times New Roman" w:hAnsi="Times New Roman"/>
          <w:b/>
          <w:lang w:val="ru-RU"/>
        </w:rPr>
        <w:t xml:space="preserve">25 </w:t>
      </w:r>
      <w:r>
        <w:rPr>
          <w:rFonts w:cs="Times New Roman" w:ascii="Times New Roman" w:hAnsi="Times New Roman"/>
          <w:b/>
        </w:rPr>
        <w:t>UL</w:t>
      </w:r>
      <w:bookmarkEnd w:id="0"/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Краткая инструкция</w:t>
      </w:r>
    </w:p>
    <w:p>
      <w:pPr>
        <w:pStyle w:val="Normal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6637020" cy="1485900"/>
            <wp:effectExtent l="0" t="0" r="0" b="0"/>
            <wp:docPr id="1" name="Рисунок 7" descr="C:\Users\Н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C:\Users\НР\Desktop\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Об устройстве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Перезаряжаемый посредством </w:t>
      </w:r>
      <w:r>
        <w:rPr>
          <w:rFonts w:cs="Times New Roman" w:ascii="Times New Roman" w:hAnsi="Times New Roman"/>
        </w:rPr>
        <w:t>USB</w:t>
      </w:r>
      <w:r>
        <w:rPr>
          <w:rFonts w:cs="Times New Roman" w:ascii="Times New Roman" w:hAnsi="Times New Roman"/>
          <w:lang w:val="ru-RU"/>
        </w:rPr>
        <w:t>-</w:t>
      </w:r>
      <w:r>
        <w:rPr>
          <w:rFonts w:cs="Times New Roman" w:ascii="Times New Roman" w:hAnsi="Times New Roman"/>
        </w:rPr>
        <w:t>C</w:t>
      </w:r>
      <w:r>
        <w:rPr>
          <w:rFonts w:cs="Times New Roman" w:ascii="Times New Roman" w:hAnsi="Times New Roman"/>
          <w:lang w:val="ru-RU"/>
        </w:rPr>
        <w:t xml:space="preserve"> налобный фонарь с двумя лучами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Специально разработан для применения во время активного отдыха вне дома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Можно активировать луч как узкого, так и широкого спектра (цветовая температура: 5500</w:t>
      </w:r>
      <w:r>
        <w:rPr>
          <w:rFonts w:cs="Times New Roman" w:ascii="Times New Roman" w:hAnsi="Times New Roman"/>
        </w:rPr>
        <w:t>K</w:t>
      </w:r>
      <w:r>
        <w:rPr>
          <w:rFonts w:cs="Times New Roman" w:ascii="Times New Roman" w:hAnsi="Times New Roman"/>
          <w:lang w:val="ru-RU"/>
        </w:rPr>
        <w:t>), также имеется красное освещение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Максимальная выходная мощность до 400 люмен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Задействует цельную систему оптических линз с различными гранями для отражения однородного и мягкого света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Максимальная интенсивность луча составляет до 1029 кд и максимальная дальность - до 64 метров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Встроенный литий-ионный аккумулятор емкостью 650 мАч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Высокоэффективная плата постоянного тока обеспечивает стабильную работу устройства на период до 90 часов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Разработан с двумя кнопками, отличающимися по форме и нажатию, что обеспечивает простое управление одной рукой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Доступны 4 уровня яркости, 3 источника света и 3 специальных режима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Встроена интеллектуальная схема зарядки литий-ионного аккумулятора с зарядным портом </w:t>
      </w:r>
      <w:r>
        <w:rPr>
          <w:rFonts w:cs="Times New Roman" w:ascii="Times New Roman" w:hAnsi="Times New Roman"/>
        </w:rPr>
        <w:t>USB</w:t>
      </w:r>
      <w:r>
        <w:rPr>
          <w:rFonts w:cs="Times New Roman" w:ascii="Times New Roman" w:hAnsi="Times New Roman"/>
          <w:lang w:val="ru-RU"/>
        </w:rPr>
        <w:t>-</w:t>
      </w:r>
      <w:r>
        <w:rPr>
          <w:rFonts w:cs="Times New Roman" w:ascii="Times New Roman" w:hAnsi="Times New Roman"/>
        </w:rPr>
        <w:t>C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Разработан с 4 индикаторами питания для определения оставшегося уровня заряда аккумулятора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Изготовлен из прочных поликарбонатных материалов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Водонепроницаемость и пыленепроницаемость в соответствии со стандартом </w:t>
      </w:r>
      <w:r>
        <w:rPr>
          <w:rFonts w:cs="Times New Roman" w:ascii="Times New Roman" w:hAnsi="Times New Roman"/>
        </w:rPr>
        <w:t>IP</w:t>
      </w:r>
      <w:r>
        <w:rPr>
          <w:rFonts w:cs="Times New Roman" w:ascii="Times New Roman" w:hAnsi="Times New Roman"/>
          <w:lang w:val="ru-RU"/>
        </w:rPr>
        <w:t>66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Ударопрочность при падении с высоты до 1 метра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/>
          <w:szCs w:val="21"/>
          <w:lang w:val="ru-RU"/>
        </w:rPr>
        <w:t>Характеристики</w:t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/>
          <w:szCs w:val="21"/>
        </w:rPr>
        <w:t>NU</w:t>
      </w:r>
      <w:r>
        <w:rPr>
          <w:rFonts w:eastAsia="等线" w:cs="Times New Roman" w:ascii="Times New Roman" w:hAnsi="Times New Roman" w:eastAsiaTheme="minorHAnsi"/>
          <w:b/>
          <w:szCs w:val="21"/>
          <w:lang w:val="ru-RU"/>
        </w:rPr>
        <w:t>25</w:t>
      </w:r>
    </w:p>
    <w:p>
      <w:pPr>
        <w:pStyle w:val="Normal"/>
        <w:rPr>
          <w:rFonts w:ascii="Times New Roman" w:hAnsi="Times New Roman" w:eastAsia="等线" w:cs="Times New Roman" w:eastAsiaTheme="minorHAnsi"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szCs w:val="21"/>
          <w:lang w:val="ru-RU"/>
        </w:rPr>
        <w:t xml:space="preserve">Размеры: 60.1 мм </w:t>
      </w:r>
      <w:r>
        <w:rPr>
          <w:rFonts w:eastAsia="等线" w:cs="Times New Roman" w:ascii="Times New Roman" w:hAnsi="Times New Roman" w:eastAsiaTheme="minorHAnsi"/>
          <w:szCs w:val="21"/>
        </w:rPr>
        <w:t>x</w:t>
      </w:r>
      <w:r>
        <w:rPr>
          <w:rFonts w:eastAsia="等线" w:cs="Times New Roman" w:ascii="Times New Roman" w:hAnsi="Times New Roman" w:eastAsiaTheme="minorHAnsi"/>
          <w:szCs w:val="21"/>
          <w:lang w:val="ru-RU"/>
        </w:rPr>
        <w:t xml:space="preserve"> 36.8 мм </w:t>
      </w:r>
      <w:r>
        <w:rPr>
          <w:rFonts w:eastAsia="等线" w:cs="Times New Roman" w:ascii="Times New Roman" w:hAnsi="Times New Roman" w:eastAsiaTheme="minorHAnsi"/>
          <w:szCs w:val="21"/>
        </w:rPr>
        <w:t>x</w:t>
      </w:r>
      <w:r>
        <w:rPr>
          <w:rFonts w:eastAsia="等线" w:cs="Times New Roman" w:ascii="Times New Roman" w:hAnsi="Times New Roman" w:eastAsiaTheme="minorHAnsi"/>
          <w:szCs w:val="21"/>
          <w:lang w:val="ru-RU"/>
        </w:rPr>
        <w:t xml:space="preserve"> 25 мм (2.37" </w:t>
      </w:r>
      <w:r>
        <w:rPr>
          <w:rFonts w:eastAsia="等线" w:cs="Times New Roman" w:ascii="Times New Roman" w:hAnsi="Times New Roman" w:eastAsiaTheme="minorHAnsi"/>
          <w:szCs w:val="21"/>
        </w:rPr>
        <w:t>x</w:t>
      </w:r>
      <w:r>
        <w:rPr>
          <w:rFonts w:eastAsia="等线" w:cs="Times New Roman" w:ascii="Times New Roman" w:hAnsi="Times New Roman" w:eastAsiaTheme="minorHAnsi"/>
          <w:szCs w:val="21"/>
          <w:lang w:val="ru-RU"/>
        </w:rPr>
        <w:t xml:space="preserve"> 1.45" </w:t>
      </w:r>
      <w:r>
        <w:rPr>
          <w:rFonts w:eastAsia="等线" w:cs="Times New Roman" w:ascii="Times New Roman" w:hAnsi="Times New Roman" w:eastAsiaTheme="minorHAnsi"/>
          <w:szCs w:val="21"/>
        </w:rPr>
        <w:t>x</w:t>
      </w:r>
      <w:r>
        <w:rPr>
          <w:rFonts w:eastAsia="等线" w:cs="Times New Roman" w:ascii="Times New Roman" w:hAnsi="Times New Roman" w:eastAsiaTheme="minorHAnsi"/>
          <w:szCs w:val="21"/>
          <w:lang w:val="ru-RU"/>
        </w:rPr>
        <w:t xml:space="preserve"> 0.98") (с учетом кронштейна)</w:t>
      </w:r>
    </w:p>
    <w:p>
      <w:pPr>
        <w:pStyle w:val="Normal"/>
        <w:rPr>
          <w:rFonts w:ascii="Times New Roman" w:hAnsi="Times New Roman" w:eastAsia="等线" w:cs="Times New Roman" w:eastAsiaTheme="minorHAnsi"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szCs w:val="21"/>
          <w:lang w:val="ru-RU"/>
        </w:rPr>
        <w:t>Вес: 56 г (1.98 унции) (с учетом кронштейна и крепления на голову)</w:t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</w:rPr>
        <w:t>NU</w:t>
      </w:r>
      <w:r>
        <w:rPr>
          <w:rFonts w:cs="Times New Roman" w:ascii="Times New Roman" w:hAnsi="Times New Roman"/>
          <w:b/>
          <w:bCs/>
          <w:lang w:val="ru-RU"/>
        </w:rPr>
        <w:t xml:space="preserve">25 </w:t>
      </w:r>
      <w:r>
        <w:rPr>
          <w:rFonts w:cs="Times New Roman" w:ascii="Times New Roman" w:hAnsi="Times New Roman"/>
          <w:b/>
          <w:bCs/>
        </w:rPr>
        <w:t>UL</w:t>
      </w:r>
    </w:p>
    <w:p>
      <w:pPr>
        <w:pStyle w:val="Normal"/>
        <w:rPr>
          <w:rFonts w:ascii="Times New Roman" w:hAnsi="Times New Roman" w:eastAsia="等线" w:cs="Times New Roman" w:eastAsiaTheme="minorHAnsi"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szCs w:val="21"/>
          <w:lang w:val="ru-RU"/>
        </w:rPr>
        <w:t xml:space="preserve">Размеры: 60.1 мм </w:t>
      </w:r>
      <w:r>
        <w:rPr>
          <w:rFonts w:eastAsia="等线" w:cs="Times New Roman" w:ascii="Times New Roman" w:hAnsi="Times New Roman" w:eastAsiaTheme="minorHAnsi"/>
          <w:szCs w:val="21"/>
        </w:rPr>
        <w:t>x</w:t>
      </w:r>
      <w:r>
        <w:rPr>
          <w:rFonts w:eastAsia="等线" w:cs="Times New Roman" w:ascii="Times New Roman" w:hAnsi="Times New Roman" w:eastAsiaTheme="minorHAnsi"/>
          <w:szCs w:val="21"/>
          <w:lang w:val="ru-RU"/>
        </w:rPr>
        <w:t xml:space="preserve"> 33 мм </w:t>
      </w:r>
      <w:r>
        <w:rPr>
          <w:rFonts w:eastAsia="等线" w:cs="Times New Roman" w:ascii="Times New Roman" w:hAnsi="Times New Roman" w:eastAsiaTheme="minorHAnsi"/>
          <w:szCs w:val="21"/>
        </w:rPr>
        <w:t>x</w:t>
      </w:r>
      <w:r>
        <w:rPr>
          <w:rFonts w:eastAsia="等线" w:cs="Times New Roman" w:ascii="Times New Roman" w:hAnsi="Times New Roman" w:eastAsiaTheme="minorHAnsi"/>
          <w:szCs w:val="21"/>
          <w:lang w:val="ru-RU"/>
        </w:rPr>
        <w:t xml:space="preserve"> 25.5 мм (2.37" </w:t>
      </w:r>
      <w:r>
        <w:rPr>
          <w:rFonts w:eastAsia="等线" w:cs="Times New Roman" w:ascii="Times New Roman" w:hAnsi="Times New Roman" w:eastAsiaTheme="minorHAnsi"/>
          <w:szCs w:val="21"/>
        </w:rPr>
        <w:t>x</w:t>
      </w:r>
      <w:r>
        <w:rPr>
          <w:rFonts w:eastAsia="等线" w:cs="Times New Roman" w:ascii="Times New Roman" w:hAnsi="Times New Roman" w:eastAsiaTheme="minorHAnsi"/>
          <w:szCs w:val="21"/>
          <w:lang w:val="ru-RU"/>
        </w:rPr>
        <w:t xml:space="preserve"> 1.3" </w:t>
      </w:r>
      <w:r>
        <w:rPr>
          <w:rFonts w:eastAsia="等线" w:cs="Times New Roman" w:ascii="Times New Roman" w:hAnsi="Times New Roman" w:eastAsiaTheme="minorHAnsi"/>
          <w:szCs w:val="21"/>
        </w:rPr>
        <w:t>x</w:t>
      </w:r>
      <w:r>
        <w:rPr>
          <w:rFonts w:eastAsia="等线" w:cs="Times New Roman" w:ascii="Times New Roman" w:hAnsi="Times New Roman" w:eastAsiaTheme="minorHAnsi"/>
          <w:szCs w:val="21"/>
          <w:lang w:val="ru-RU"/>
        </w:rPr>
        <w:t xml:space="preserve"> 1") (с учетом кронштейна)</w:t>
      </w:r>
    </w:p>
    <w:p>
      <w:pPr>
        <w:pStyle w:val="Normal"/>
        <w:rPr>
          <w:rFonts w:ascii="Times New Roman" w:hAnsi="Times New Roman" w:eastAsia="等线" w:cs="Times New Roman" w:eastAsiaTheme="minorHAnsi"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szCs w:val="21"/>
          <w:lang w:val="ru-RU"/>
        </w:rPr>
        <w:t>Вес: 45 г (1.59 унции) (с учетом кронштейна и крепления на голову)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/>
          <w:szCs w:val="21"/>
          <w:lang w:val="ru-RU"/>
        </w:rPr>
        <w:t>Комплектующие</w:t>
      </w:r>
    </w:p>
    <w:p>
      <w:pPr>
        <w:pStyle w:val="Normal"/>
        <w:rPr>
          <w:rFonts w:ascii="Times New Roman" w:hAnsi="Times New Roman" w:eastAsia="等线" w:cs="Times New Roman" w:eastAsiaTheme="minorHAnsi"/>
          <w:bCs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 xml:space="preserve">Зарядный кабель </w:t>
      </w:r>
      <w:r>
        <w:rPr>
          <w:rFonts w:eastAsia="等线" w:cs="Times New Roman" w:ascii="Times New Roman" w:hAnsi="Times New Roman" w:eastAsiaTheme="minorHAnsi"/>
          <w:bCs/>
          <w:szCs w:val="21"/>
        </w:rPr>
        <w:t>USB</w:t>
      </w: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>-</w:t>
      </w:r>
      <w:r>
        <w:rPr>
          <w:rFonts w:eastAsia="等线" w:cs="Times New Roman" w:ascii="Times New Roman" w:hAnsi="Times New Roman" w:eastAsiaTheme="minorHAnsi"/>
          <w:bCs/>
          <w:szCs w:val="21"/>
        </w:rPr>
        <w:t>C</w:t>
      </w: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>, крепление на голову</w:t>
      </w:r>
    </w:p>
    <w:p>
      <w:pPr>
        <w:pStyle w:val="Normal"/>
        <w:rPr>
          <w:rFonts w:ascii="Times New Roman" w:hAnsi="Times New Roman" w:eastAsia="等线" w:cs="Times New Roman" w:eastAsiaTheme="minorHAnsi"/>
          <w:bCs/>
          <w:szCs w:val="21"/>
          <w:lang w:val="ru-RU"/>
        </w:rPr>
      </w:pPr>
      <w:r>
        <w:rPr>
          <w:rFonts w:eastAsia="等线" w:cs="Times New Roman" w:eastAsiaTheme="minorHAnsi" w:ascii="Times New Roman" w:hAnsi="Times New Roman"/>
          <w:bCs/>
          <w:szCs w:val="21"/>
          <w:lang w:val="ru-RU"/>
        </w:rPr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/>
          <w:szCs w:val="21"/>
          <w:lang w:val="ru-RU"/>
        </w:rPr>
        <w:t>Технические характеристики</w:t>
      </w:r>
    </w:p>
    <w:tbl>
      <w:tblPr>
        <w:tblStyle w:val="a8"/>
        <w:tblpPr w:bottomFromText="0" w:horzAnchor="margin" w:leftFromText="180" w:rightFromText="180" w:tblpX="0" w:tblpY="57" w:topFromText="0" w:vertAnchor="text"/>
        <w:tblW w:w="10731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845"/>
        <w:gridCol w:w="850"/>
        <w:gridCol w:w="851"/>
        <w:gridCol w:w="709"/>
        <w:gridCol w:w="850"/>
        <w:gridCol w:w="709"/>
        <w:gridCol w:w="850"/>
        <w:gridCol w:w="710"/>
        <w:gridCol w:w="1134"/>
        <w:gridCol w:w="1133"/>
        <w:gridCol w:w="851"/>
        <w:gridCol w:w="553"/>
        <w:gridCol w:w="685"/>
      </w:tblGrid>
      <w:tr>
        <w:trPr>
          <w:trHeight w:val="3" w:hRule="atLeast"/>
        </w:trPr>
        <w:tc>
          <w:tcPr>
            <w:tcW w:w="84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 xml:space="preserve">FL1 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>СТАНДАРТ</w:t>
            </w:r>
          </w:p>
        </w:tc>
        <w:tc>
          <w:tcPr>
            <w:tcW w:w="2410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>Смешанный тип луча</w:t>
            </w:r>
          </w:p>
        </w:tc>
        <w:tc>
          <w:tcPr>
            <w:tcW w:w="1559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>Луч узкого спектра</w:t>
            </w:r>
          </w:p>
        </w:tc>
        <w:tc>
          <w:tcPr>
            <w:tcW w:w="2694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>Луч широкого спектра</w:t>
            </w:r>
          </w:p>
        </w:tc>
        <w:tc>
          <w:tcPr>
            <w:tcW w:w="1984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>Красный свет</w:t>
            </w:r>
          </w:p>
        </w:tc>
        <w:tc>
          <w:tcPr>
            <w:tcW w:w="55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SOS</w:t>
            </w:r>
          </w:p>
        </w:tc>
        <w:tc>
          <w:tcPr>
            <w:tcW w:w="68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>МАЯК</w:t>
            </w:r>
          </w:p>
        </w:tc>
      </w:tr>
      <w:tr>
        <w:trPr>
          <w:trHeight w:val="7" w:hRule="atLeast"/>
        </w:trPr>
        <w:tc>
          <w:tcPr>
            <w:tcW w:w="84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</w:rPr>
            </w:pPr>
            <w:r>
              <w:rPr>
                <w:rFonts w:eastAsia="等线" w:cs="Times New Roman" w:eastAsiaTheme="minorHAnsi" w:ascii="Times New Roman" w:hAnsi="Times New Roman"/>
                <w:kern w:val="2"/>
                <w:sz w:val="21"/>
                <w:szCs w:val="22"/>
                <w:lang w:val="en-US" w:eastAsia="zh-CN" w:bidi="ar-SA"/>
              </w:rPr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>ВЫСОКИЙ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>СРЕДНИЙ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>НИЗКИЙ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>СРЕДНИЙ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>НИЗКИЙ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>СРЕДНИЙ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>НИЗКИЙ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>СВЕРХНИЗКИЙ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>ПОСТОЯННОЕ ГОРЕНИЕ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>МЕДЛЕННОЕ МИГАНИЕ</w:t>
            </w:r>
          </w:p>
        </w:tc>
        <w:tc>
          <w:tcPr>
            <w:tcW w:w="55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</w:rPr>
            </w:pPr>
            <w:r>
              <w:rPr>
                <w:rFonts w:eastAsia="等线" w:cs="Times New Roman" w:eastAsiaTheme="minorHAnsi" w:ascii="Times New Roman" w:hAnsi="Times New Roman"/>
                <w:kern w:val="2"/>
                <w:sz w:val="21"/>
                <w:szCs w:val="22"/>
                <w:lang w:val="en-US" w:eastAsia="zh-CN" w:bidi="ar-SA"/>
              </w:rPr>
            </w:r>
          </w:p>
        </w:tc>
        <w:tc>
          <w:tcPr>
            <w:tcW w:w="68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</w:rPr>
            </w:pPr>
            <w:r>
              <w:rPr>
                <w:rFonts w:eastAsia="等线" w:cs="Times New Roman" w:eastAsiaTheme="minorHAnsi" w:ascii="Times New Roman" w:hAnsi="Times New Roman"/>
                <w:kern w:val="2"/>
                <w:sz w:val="21"/>
                <w:szCs w:val="22"/>
                <w:lang w:val="en-US" w:eastAsia="zh-CN" w:bidi="ar-SA"/>
              </w:rPr>
            </w:r>
          </w:p>
        </w:tc>
      </w:tr>
      <w:tr>
        <w:trPr>
          <w:trHeight w:val="3" w:hRule="atLeast"/>
        </w:trPr>
        <w:tc>
          <w:tcPr>
            <w:tcW w:w="8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</w:rPr>
            </w:pPr>
            <w:r>
              <w:rPr>
                <w:kern w:val="2"/>
                <w:sz w:val="21"/>
                <w:szCs w:val="22"/>
                <w:lang w:val="en-US" w:eastAsia="zh-CN" w:bidi="ar-SA"/>
              </w:rPr>
              <w:drawing>
                <wp:inline distT="0" distB="0" distL="0" distR="0">
                  <wp:extent cx="177165" cy="118745"/>
                  <wp:effectExtent l="0" t="0" r="0" b="0"/>
                  <wp:docPr id="2" name="图片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 xml:space="preserve">400 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>люмен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 xml:space="preserve">200 </w:t>
            </w:r>
            <w:r>
              <w:rPr>
                <w:rFonts w:cs="Times New Roman" w:ascii="Times New Roman" w:hAnsi="Times New Roman"/>
                <w:kern w:val="2"/>
                <w:sz w:val="14"/>
                <w:szCs w:val="14"/>
                <w:lang w:val="en-US" w:eastAsia="zh-CN" w:bidi="ar-SA"/>
              </w:rPr>
              <w:t>люмен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 xml:space="preserve">60 </w:t>
            </w:r>
            <w:r>
              <w:rPr>
                <w:rFonts w:cs="Times New Roman" w:ascii="Times New Roman" w:hAnsi="Times New Roman"/>
                <w:kern w:val="2"/>
                <w:sz w:val="14"/>
                <w:szCs w:val="14"/>
                <w:lang w:val="ru-RU" w:eastAsia="zh-CN" w:bidi="ar-SA"/>
              </w:rPr>
              <w:t>люмен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 xml:space="preserve">200 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>люмен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 xml:space="preserve">60 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>люмен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 xml:space="preserve">200 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>люмен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 xml:space="preserve">60 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>люмен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 xml:space="preserve">6 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>люмен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 xml:space="preserve">10 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>люмен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 xml:space="preserve">10 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>люмен</w:t>
            </w:r>
          </w:p>
        </w:tc>
        <w:tc>
          <w:tcPr>
            <w:tcW w:w="55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 xml:space="preserve">400 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>люмен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 xml:space="preserve">400 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>люмен</w:t>
            </w:r>
          </w:p>
        </w:tc>
      </w:tr>
      <w:tr>
        <w:trPr>
          <w:trHeight w:val="3" w:hRule="atLeast"/>
        </w:trPr>
        <w:tc>
          <w:tcPr>
            <w:tcW w:w="8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</w:rPr>
            </w:pPr>
            <w:r>
              <w:rPr>
                <w:kern w:val="2"/>
                <w:sz w:val="21"/>
                <w:szCs w:val="22"/>
                <w:lang w:val="en-US" w:eastAsia="zh-CN" w:bidi="ar-SA"/>
              </w:rPr>
              <w:drawing>
                <wp:inline distT="0" distB="0" distL="0" distR="0">
                  <wp:extent cx="138430" cy="147320"/>
                  <wp:effectExtent l="0" t="0" r="0" b="0"/>
                  <wp:docPr id="3" name="图片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4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2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ч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 xml:space="preserve"> 40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мин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4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ч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 xml:space="preserve"> 40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мин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10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ч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 xml:space="preserve"> 25 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>мин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4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ч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 xml:space="preserve"> 15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мин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10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ч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 xml:space="preserve"> 30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мин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4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ч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 xml:space="preserve"> 15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мин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10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ч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90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ч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16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ч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─</w:t>
            </w:r>
          </w:p>
        </w:tc>
        <w:tc>
          <w:tcPr>
            <w:tcW w:w="55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─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─</w:t>
            </w:r>
          </w:p>
        </w:tc>
      </w:tr>
      <w:tr>
        <w:trPr>
          <w:trHeight w:val="3" w:hRule="atLeast"/>
        </w:trPr>
        <w:tc>
          <w:tcPr>
            <w:tcW w:w="8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</w:rPr>
            </w:pPr>
            <w:r>
              <w:rPr>
                <w:kern w:val="2"/>
                <w:sz w:val="21"/>
                <w:szCs w:val="22"/>
                <w:lang w:val="en-US" w:eastAsia="zh-CN" w:bidi="ar-SA"/>
              </w:rPr>
              <w:drawing>
                <wp:inline distT="0" distB="0" distL="0" distR="0">
                  <wp:extent cx="200025" cy="162560"/>
                  <wp:effectExtent l="0" t="0" r="0" b="0"/>
                  <wp:docPr id="4" name="图片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64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м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45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м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24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м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58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м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31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м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23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м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12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м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4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м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8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м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─</w:t>
            </w:r>
          </w:p>
        </w:tc>
        <w:tc>
          <w:tcPr>
            <w:tcW w:w="55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─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─</w:t>
            </w:r>
          </w:p>
        </w:tc>
      </w:tr>
      <w:tr>
        <w:trPr>
          <w:trHeight w:val="3" w:hRule="atLeast"/>
        </w:trPr>
        <w:tc>
          <w:tcPr>
            <w:tcW w:w="8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</w:rPr>
            </w:pPr>
            <w:r>
              <w:rPr>
                <w:kern w:val="2"/>
                <w:sz w:val="21"/>
                <w:szCs w:val="22"/>
                <w:lang w:val="en-US" w:eastAsia="zh-CN" w:bidi="ar-SA"/>
              </w:rPr>
              <w:drawing>
                <wp:inline distT="0" distB="0" distL="0" distR="0">
                  <wp:extent cx="138430" cy="138430"/>
                  <wp:effectExtent l="0" t="0" r="0" b="0"/>
                  <wp:docPr id="5" name="图片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1,029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кд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525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кд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150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кд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862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кд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253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кд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138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кд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39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кд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4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кд</w:t>
            </w:r>
          </w:p>
        </w:tc>
        <w:tc>
          <w:tcPr>
            <w:tcW w:w="113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  <w:lang w:val="ru-RU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15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кд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─</w:t>
            </w:r>
          </w:p>
        </w:tc>
        <w:tc>
          <w:tcPr>
            <w:tcW w:w="55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─</w:t>
            </w:r>
          </w:p>
        </w:tc>
        <w:tc>
          <w:tcPr>
            <w:tcW w:w="68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─</w:t>
            </w:r>
          </w:p>
        </w:tc>
      </w:tr>
      <w:tr>
        <w:trPr>
          <w:trHeight w:val="3" w:hRule="atLeast"/>
        </w:trPr>
        <w:tc>
          <w:tcPr>
            <w:tcW w:w="8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</w:rPr>
            </w:pPr>
            <w:bookmarkStart w:id="1" w:name="_Hlk111551534"/>
            <w:r>
              <w:rPr>
                <w:kern w:val="2"/>
                <w:sz w:val="21"/>
                <w:szCs w:val="22"/>
                <w:lang w:val="en-US" w:eastAsia="zh-CN" w:bidi="ar-SA"/>
              </w:rPr>
              <w:drawing>
                <wp:inline distT="0" distB="0" distL="0" distR="0">
                  <wp:extent cx="138430" cy="116840"/>
                  <wp:effectExtent l="0" t="0" r="0" b="0"/>
                  <wp:docPr id="6" name="图片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1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5" w:type="dxa"/>
            <w:gridSpan w:val="1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</w:rPr>
            </w:pP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1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 xml:space="preserve"> м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 xml:space="preserve"> (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ru-RU" w:eastAsia="zh-CN" w:bidi="ar-SA"/>
              </w:rPr>
              <w:t>ударопрочность</w:t>
            </w:r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)</w:t>
            </w:r>
          </w:p>
        </w:tc>
      </w:tr>
      <w:tr>
        <w:trPr>
          <w:trHeight w:val="3" w:hRule="atLeast"/>
        </w:trPr>
        <w:tc>
          <w:tcPr>
            <w:tcW w:w="84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</w:rPr>
            </w:pPr>
            <w:r>
              <w:rPr>
                <w:kern w:val="2"/>
                <w:sz w:val="21"/>
                <w:szCs w:val="22"/>
                <w:lang w:val="en-US" w:eastAsia="zh-CN" w:bidi="ar-SA"/>
              </w:rPr>
              <w:drawing>
                <wp:inline distT="0" distB="0" distL="0" distR="0">
                  <wp:extent cx="177165" cy="109220"/>
                  <wp:effectExtent l="0" t="0" r="0" b="0"/>
                  <wp:docPr id="7" name="图片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0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5" w:type="dxa"/>
            <w:gridSpan w:val="1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等线" w:cs="Times New Roman" w:eastAsiaTheme="minorHAnsi"/>
                <w:sz w:val="14"/>
                <w:szCs w:val="14"/>
              </w:rPr>
            </w:pPr>
            <w:bookmarkStart w:id="2" w:name="_Hlk111551534"/>
            <w:r>
              <w:rPr>
                <w:rFonts w:eastAsia="等线" w:cs="Times New Roman" w:ascii="Times New Roman" w:hAnsi="Times New Roman" w:eastAsiaTheme="minorHAnsi"/>
                <w:kern w:val="2"/>
                <w:sz w:val="14"/>
                <w:szCs w:val="14"/>
                <w:lang w:val="en-US" w:eastAsia="zh-CN" w:bidi="ar-SA"/>
              </w:rPr>
              <w:t>IP66</w:t>
            </w:r>
            <w:bookmarkEnd w:id="2"/>
          </w:p>
        </w:tc>
      </w:tr>
    </w:tbl>
    <w:p>
      <w:pPr>
        <w:pStyle w:val="Normal"/>
        <w:rPr>
          <w:rFonts w:ascii="Times New Roman" w:hAnsi="Times New Roman" w:eastAsia="等线" w:cs="Times New Roman" w:eastAsiaTheme="minorHAnsi"/>
          <w:bCs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/>
          <w:bCs/>
          <w:szCs w:val="21"/>
          <w:lang w:val="ru-RU"/>
        </w:rPr>
        <w:t xml:space="preserve">Примечание. </w:t>
      </w: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 xml:space="preserve">Указанные данные получены в лабораторных условиях в соответствии с международными стандартами тестирования фонарей </w:t>
      </w:r>
      <w:r>
        <w:rPr>
          <w:rFonts w:eastAsia="等线" w:cs="Times New Roman" w:ascii="Times New Roman" w:hAnsi="Times New Roman" w:eastAsiaTheme="minorHAnsi"/>
          <w:bCs/>
          <w:szCs w:val="21"/>
        </w:rPr>
        <w:t>ANSI</w:t>
      </w: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>/</w:t>
      </w:r>
      <w:r>
        <w:rPr>
          <w:rFonts w:eastAsia="等线" w:cs="Times New Roman" w:ascii="Times New Roman" w:hAnsi="Times New Roman" w:eastAsiaTheme="minorHAnsi"/>
          <w:bCs/>
          <w:szCs w:val="21"/>
        </w:rPr>
        <w:t>NEMA</w:t>
      </w: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 xml:space="preserve"> </w:t>
      </w:r>
      <w:r>
        <w:rPr>
          <w:rFonts w:eastAsia="等线" w:cs="Times New Roman" w:ascii="Times New Roman" w:hAnsi="Times New Roman" w:eastAsiaTheme="minorHAnsi"/>
          <w:bCs/>
          <w:szCs w:val="21"/>
        </w:rPr>
        <w:t>FL</w:t>
      </w: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>1 с использованием встроенного литий-ионного аккумулятора (3,7 В, 650 мАч). При эксплуатации данные могут не соответствовать приведенным вследствие использования устройства с другим аккумулятором, а также условий окружающей среды.</w:t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bCs/>
          <w:szCs w:val="21"/>
          <w:lang w:val="ru-RU"/>
        </w:rPr>
      </w:pPr>
      <w:r>
        <w:rPr>
          <w:rFonts w:eastAsia="等线" w:cs="Times New Roman" w:eastAsiaTheme="minorHAnsi" w:ascii="Times New Roman" w:hAnsi="Times New Roman"/>
          <w:b/>
          <w:bCs/>
          <w:szCs w:val="21"/>
          <w:lang w:val="ru-RU"/>
        </w:rPr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bCs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/>
          <w:bCs/>
          <w:szCs w:val="21"/>
          <w:lang w:val="ru-RU"/>
        </w:rPr>
        <w:t>Зарядка</w:t>
      </w:r>
    </w:p>
    <w:p>
      <w:pPr>
        <w:pStyle w:val="Normal"/>
        <w:rPr>
          <w:rFonts w:ascii="Times New Roman" w:hAnsi="Times New Roman" w:eastAsia="等线" w:cs="Times New Roman" w:eastAsiaTheme="minorHAnsi"/>
          <w:bCs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Cs/>
          <w:szCs w:val="21"/>
        </w:rPr>
        <w:t>NU</w:t>
      </w: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 xml:space="preserve">25 / </w:t>
      </w:r>
      <w:r>
        <w:rPr>
          <w:rFonts w:eastAsia="等线" w:cs="Times New Roman" w:ascii="Times New Roman" w:hAnsi="Times New Roman" w:eastAsiaTheme="minorHAnsi"/>
          <w:bCs/>
          <w:szCs w:val="21"/>
        </w:rPr>
        <w:t>NU</w:t>
      </w: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 xml:space="preserve">25 </w:t>
      </w:r>
      <w:r>
        <w:rPr>
          <w:rFonts w:eastAsia="等线" w:cs="Times New Roman" w:ascii="Times New Roman" w:hAnsi="Times New Roman" w:eastAsiaTheme="minorHAnsi"/>
          <w:bCs/>
          <w:szCs w:val="21"/>
        </w:rPr>
        <w:t>UL</w:t>
      </w: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 xml:space="preserve"> оснащен интеллектуальной системой зарядки. Пожалуйста, не забудьте зарядить аккумулятор перед первым использованием.</w:t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bCs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/>
          <w:bCs/>
          <w:szCs w:val="21"/>
          <w:lang w:val="ru-RU"/>
        </w:rPr>
        <w:t xml:space="preserve">Подключение к источнику питания: </w:t>
      </w: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>откройте порт зарядки,</w:t>
      </w:r>
      <w:r>
        <w:rPr>
          <w:lang w:val="ru-RU"/>
        </w:rPr>
        <w:t xml:space="preserve"> </w:t>
      </w: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 xml:space="preserve">как показано на иллюстрации, чтобы подсоединить </w:t>
      </w:r>
      <w:r>
        <w:rPr>
          <w:rFonts w:eastAsia="等线" w:cs="Times New Roman" w:ascii="Times New Roman" w:hAnsi="Times New Roman" w:eastAsiaTheme="minorHAnsi"/>
          <w:bCs/>
          <w:szCs w:val="21"/>
        </w:rPr>
        <w:t>USB</w:t>
      </w: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>-кабель и посредством него подключить устройство к внешнему источнику питания. После этого начнется зарядка.</w:t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bCs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/>
          <w:bCs/>
          <w:szCs w:val="21"/>
          <w:lang w:val="ru-RU"/>
        </w:rPr>
        <w:t xml:space="preserve">Определение уровня заряда: </w:t>
      </w: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>во время зарядки 4 верхних индикатора питания начнут мигать, сообщая пользователю уровень заряда. Когда аккумулятор полностью зарядится, 4 индикатора питания начнут беспрерывно гореть. Время зарядки составляет около 1 ч 25 мин. При полном заряде время работы в режиме ожидания составляет приблизительно 12 месяцев.</w:t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bCs/>
          <w:szCs w:val="21"/>
          <w:lang w:val="ru-RU"/>
        </w:rPr>
      </w:pPr>
      <w:r>
        <w:rPr>
          <w:rFonts w:eastAsia="等线" w:cs="Times New Roman" w:eastAsiaTheme="minorHAnsi" w:ascii="Times New Roman" w:hAnsi="Times New Roman"/>
          <w:b/>
          <w:bCs/>
          <w:szCs w:val="21"/>
          <w:lang w:val="ru-RU"/>
        </w:rPr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bCs/>
          <w:szCs w:val="21"/>
          <w:lang w:val="ru-RU"/>
        </w:rPr>
      </w:pPr>
      <w:r>
        <w:drawing>
          <wp:anchor behindDoc="0" distT="0" distB="0" distL="114300" distR="114300" simplePos="0" locked="0" layoutInCell="0" allowOverlap="1" relativeHeight="10">
            <wp:simplePos x="0" y="0"/>
            <wp:positionH relativeFrom="column">
              <wp:posOffset>4122420</wp:posOffset>
            </wp:positionH>
            <wp:positionV relativeFrom="paragraph">
              <wp:posOffset>11430</wp:posOffset>
            </wp:positionV>
            <wp:extent cx="2667000" cy="1358900"/>
            <wp:effectExtent l="0" t="0" r="0" b="0"/>
            <wp:wrapSquare wrapText="bothSides"/>
            <wp:docPr id="8" name="Рисунок 8" descr="C:\Users\НР\Desktop\2\AbId78I-xiUMqpp59GV1n_XjECS5pOJLFIRS4rx0DRez0bv3Lqnm81jAowJ2Oq_9XyQexwNPUnQxU48OPkqFRp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НР\Desktop\2\AbId78I-xiUMqpp59GV1n_XjECS5pOJLFIRS4rx0DRez0bv3Lqnm81jAowJ2Oq_9XyQexwNPUnQxU48OPkqFRpax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等线" w:cs="Times New Roman" w:ascii="Times New Roman" w:hAnsi="Times New Roman" w:eastAsiaTheme="minorHAnsi"/>
          <w:b/>
          <w:bCs/>
          <w:szCs w:val="21"/>
          <w:lang w:val="ru-RU"/>
        </w:rPr>
        <w:t>Кнопка питания / кнопка режима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eastAsia="等线" w:cs="Times New Roman" w:eastAsiaTheme="minorHAnsi"/>
          <w:bCs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>Кнопка питания (</w:t>
      </w:r>
      <w:r>
        <w:rPr>
          <w:rFonts w:eastAsia="等线" w:cs="Times New Roman" w:ascii="Times New Roman" w:hAnsi="Times New Roman" w:eastAsiaTheme="minorHAnsi"/>
          <w:bCs/>
          <w:szCs w:val="21"/>
        </w:rPr>
        <w:t>POWER</w:t>
      </w: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>) используется для включения / выключения фонаря и регулирования уровня яркости.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eastAsia="等线" w:cs="Times New Roman" w:eastAsiaTheme="minorHAnsi"/>
          <w:bCs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>Кнопка режима (</w:t>
      </w:r>
      <w:r>
        <w:rPr>
          <w:rFonts w:eastAsia="等线" w:cs="Times New Roman" w:ascii="Times New Roman" w:hAnsi="Times New Roman" w:eastAsiaTheme="minorHAnsi"/>
          <w:bCs/>
          <w:szCs w:val="21"/>
        </w:rPr>
        <w:t>MODE</w:t>
      </w: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>) предназначена для переключения между источниками света.</w:t>
      </w:r>
      <w:r>
        <w:rPr>
          <w:b/>
          <w:bCs/>
          <w:lang w:val="ru-RU" w:eastAsia="ru-RU"/>
        </w:rPr>
        <w:t xml:space="preserve"> </w:t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bCs/>
          <w:szCs w:val="21"/>
          <w:lang w:val="ru-RU"/>
        </w:rPr>
      </w:pPr>
      <w:r>
        <w:rPr>
          <w:rFonts w:eastAsia="等线" w:cs="Times New Roman" w:eastAsiaTheme="minorHAnsi" w:ascii="Times New Roman" w:hAnsi="Times New Roman"/>
          <w:b/>
          <w:bCs/>
          <w:szCs w:val="21"/>
          <w:lang w:val="ru-RU"/>
        </w:rPr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bCs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/>
          <w:bCs/>
          <w:szCs w:val="21"/>
          <w:lang w:val="ru-RU"/>
        </w:rPr>
        <w:t>Включение / выключение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eastAsia="等线" w:cs="Times New Roman" w:eastAsiaTheme="minorHAnsi"/>
          <w:bCs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>Когда фонарь выключен, зажмите и удерживайте кнопку питания в течение 1 секунды, чтобы перейти к низкому уровню яркости (</w:t>
      </w:r>
      <w:r>
        <w:rPr>
          <w:rFonts w:eastAsia="等线" w:cs="Times New Roman" w:ascii="Times New Roman" w:hAnsi="Times New Roman" w:eastAsiaTheme="minorHAnsi"/>
          <w:bCs/>
          <w:szCs w:val="21"/>
        </w:rPr>
        <w:t>LOW</w:t>
      </w: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>) в режиме смешанного типа освещения (</w:t>
      </w:r>
      <w:r>
        <w:rPr>
          <w:rFonts w:eastAsia="等线" w:cs="Times New Roman" w:ascii="Times New Roman" w:hAnsi="Times New Roman" w:eastAsiaTheme="minorHAnsi"/>
          <w:bCs/>
          <w:szCs w:val="21"/>
        </w:rPr>
        <w:t>Mix</w:t>
      </w: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>).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eastAsia="等线" w:cs="Times New Roman" w:eastAsiaTheme="minorHAnsi"/>
          <w:bCs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>Когда фонарь включен, зажмите и удерживайте кнопку питания или кнопку режима в течение 1 секунды, чтобы выключить его.</w:t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szCs w:val="21"/>
          <w:lang w:val="ru-RU"/>
        </w:rPr>
      </w:pPr>
      <w:r>
        <w:rPr>
          <w:rFonts w:eastAsia="等线" w:cs="Times New Roman" w:eastAsiaTheme="minorHAnsi" w:ascii="Times New Roman" w:hAnsi="Times New Roman"/>
          <w:b/>
          <w:szCs w:val="21"/>
          <w:lang w:val="ru-RU"/>
        </w:rPr>
        <w:drawing>
          <wp:anchor behindDoc="0" distT="0" distB="0" distL="114300" distR="114300" simplePos="0" locked="0" layoutInCell="0" allowOverlap="1" relativeHeight="9">
            <wp:simplePos x="0" y="0"/>
            <wp:positionH relativeFrom="column">
              <wp:posOffset>4244340</wp:posOffset>
            </wp:positionH>
            <wp:positionV relativeFrom="paragraph">
              <wp:posOffset>56515</wp:posOffset>
            </wp:positionV>
            <wp:extent cx="2795905" cy="1454785"/>
            <wp:effectExtent l="0" t="0" r="0" b="0"/>
            <wp:wrapSquare wrapText="bothSides"/>
            <wp:docPr id="9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bCs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/>
          <w:bCs/>
          <w:szCs w:val="21"/>
          <w:lang w:val="ru-RU"/>
        </w:rPr>
        <w:t>Белое освещение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eastAsia="等线" w:cs="Times New Roman" w:eastAsiaTheme="minorHAnsi"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szCs w:val="21"/>
          <w:lang w:val="ru-RU"/>
        </w:rPr>
        <w:t>Когда фонарь выключен, зажмите и удерживайте кнопку питания в течение 1 секунды, чтобы перейти к низкому уровню яркости (LOW) в режиме смешанного типа освещения (Mix).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Когда фонарь выключен, дважды нажмите на кнопку питания, чтобы перейти к сверхнизкому уровню яркости (</w:t>
      </w:r>
      <w:r>
        <w:rPr>
          <w:rFonts w:cs="Times New Roman" w:ascii="Times New Roman" w:hAnsi="Times New Roman"/>
        </w:rPr>
        <w:t>ULTRALOW</w:t>
      </w:r>
      <w:r>
        <w:rPr>
          <w:rFonts w:cs="Times New Roman" w:ascii="Times New Roman" w:hAnsi="Times New Roman"/>
          <w:lang w:val="ru-RU"/>
        </w:rPr>
        <w:t>).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eastAsia="等线" w:cs="Times New Roman" w:eastAsiaTheme="minorHAnsi"/>
          <w:szCs w:val="21"/>
          <w:lang w:val="ru-RU"/>
        </w:rPr>
      </w:pPr>
      <w:r>
        <w:rPr>
          <w:rFonts w:cs="Times New Roman" w:ascii="Times New Roman" w:hAnsi="Times New Roman"/>
          <w:lang w:val="ru-RU"/>
        </w:rPr>
        <w:t>Когда устройство находится</w:t>
      </w:r>
      <w:r>
        <w:rPr>
          <w:lang w:val="ru-RU"/>
        </w:rPr>
        <w:t xml:space="preserve"> </w:t>
      </w:r>
      <w:r>
        <w:rPr>
          <w:rFonts w:cs="Times New Roman" w:ascii="Times New Roman" w:hAnsi="Times New Roman"/>
          <w:lang w:val="ru-RU"/>
        </w:rPr>
        <w:t>в режиме смешанного типа освещения (</w:t>
      </w:r>
      <w:r>
        <w:rPr>
          <w:rFonts w:cs="Times New Roman" w:ascii="Times New Roman" w:hAnsi="Times New Roman"/>
        </w:rPr>
        <w:t>Mix</w:t>
      </w:r>
      <w:r>
        <w:rPr>
          <w:rFonts w:cs="Times New Roman" w:ascii="Times New Roman" w:hAnsi="Times New Roman"/>
          <w:lang w:val="ru-RU"/>
        </w:rPr>
        <w:t>)</w:t>
      </w:r>
      <w:r>
        <w:rPr>
          <w:rFonts w:eastAsia="等线" w:cs="Times New Roman" w:ascii="Times New Roman" w:hAnsi="Times New Roman" w:eastAsiaTheme="minorHAnsi"/>
          <w:szCs w:val="21"/>
          <w:lang w:val="ru-RU"/>
        </w:rPr>
        <w:t>, нажимайте на кнопку питания, чтобы переключаться между следующими уровнями яркости: низкий (</w:t>
      </w:r>
      <w:r>
        <w:rPr>
          <w:rFonts w:eastAsia="等线" w:cs="Times New Roman" w:ascii="Times New Roman" w:hAnsi="Times New Roman" w:eastAsiaTheme="minorHAnsi"/>
          <w:szCs w:val="21"/>
        </w:rPr>
        <w:t>LOW</w:t>
      </w:r>
      <w:r>
        <w:rPr>
          <w:rFonts w:eastAsia="等线" w:cs="Times New Roman" w:ascii="Times New Roman" w:hAnsi="Times New Roman" w:eastAsiaTheme="minorHAnsi"/>
          <w:szCs w:val="21"/>
          <w:lang w:val="ru-RU"/>
        </w:rPr>
        <w:t>)</w:t>
      </w: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 xml:space="preserve"> – средний (</w:t>
      </w:r>
      <w:r>
        <w:rPr>
          <w:rFonts w:eastAsia="等线" w:cs="Times New Roman" w:ascii="Times New Roman" w:hAnsi="Times New Roman" w:eastAsiaTheme="minorHAnsi"/>
          <w:bCs/>
          <w:szCs w:val="21"/>
        </w:rPr>
        <w:t>MID</w:t>
      </w: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>) – высокий (</w:t>
      </w:r>
      <w:r>
        <w:rPr>
          <w:rFonts w:eastAsia="等线" w:cs="Times New Roman" w:ascii="Times New Roman" w:hAnsi="Times New Roman" w:eastAsiaTheme="minorHAnsi"/>
          <w:bCs/>
          <w:szCs w:val="21"/>
        </w:rPr>
        <w:t>HIGH</w:t>
      </w: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>)</w:t>
      </w:r>
      <w:r>
        <w:rPr>
          <w:rFonts w:eastAsia="等线" w:cs="Times New Roman" w:ascii="Times New Roman" w:hAnsi="Times New Roman" w:eastAsiaTheme="minorHAnsi"/>
          <w:szCs w:val="21"/>
          <w:lang w:val="ru-RU"/>
        </w:rPr>
        <w:t>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eastAsia="等线" w:cs="Times New Roman" w:eastAsiaTheme="minorHAnsi"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szCs w:val="21"/>
          <w:lang w:val="ru-RU"/>
        </w:rPr>
        <w:t>Когда включен луч узкого спектра или луч широкого спектра, нажимайте на кнопку питания, чтобы переключаться между низким (</w:t>
      </w:r>
      <w:r>
        <w:rPr>
          <w:rFonts w:eastAsia="等线" w:cs="Times New Roman" w:ascii="Times New Roman" w:hAnsi="Times New Roman" w:eastAsiaTheme="minorHAnsi"/>
          <w:szCs w:val="21"/>
        </w:rPr>
        <w:t>LOW</w:t>
      </w:r>
      <w:r>
        <w:rPr>
          <w:rFonts w:eastAsia="等线" w:cs="Times New Roman" w:ascii="Times New Roman" w:hAnsi="Times New Roman" w:eastAsiaTheme="minorHAnsi"/>
          <w:szCs w:val="21"/>
          <w:lang w:val="ru-RU"/>
        </w:rPr>
        <w:t>) и средним (</w:t>
      </w:r>
      <w:r>
        <w:rPr>
          <w:rFonts w:eastAsia="等线" w:cs="Times New Roman" w:ascii="Times New Roman" w:hAnsi="Times New Roman" w:eastAsiaTheme="minorHAnsi"/>
          <w:szCs w:val="21"/>
        </w:rPr>
        <w:t>MID</w:t>
      </w:r>
      <w:r>
        <w:rPr>
          <w:rFonts w:eastAsia="等线" w:cs="Times New Roman" w:ascii="Times New Roman" w:hAnsi="Times New Roman" w:eastAsiaTheme="minorHAnsi"/>
          <w:szCs w:val="21"/>
          <w:lang w:val="ru-RU"/>
        </w:rPr>
        <w:t>) уровнями яркости.</w:t>
      </w:r>
    </w:p>
    <w:p>
      <w:pPr>
        <w:pStyle w:val="Normal"/>
        <w:rPr>
          <w:rFonts w:ascii="Times New Roman" w:hAnsi="Times New Roman" w:eastAsia="等线" w:cs="Times New Roman" w:eastAsiaTheme="minorHAnsi"/>
          <w:szCs w:val="21"/>
          <w:lang w:val="ru-RU"/>
        </w:rPr>
      </w:pPr>
      <w:r>
        <w:rPr>
          <w:rFonts w:eastAsia="等线" w:cs="Times New Roman" w:eastAsiaTheme="minorHAnsi" w:ascii="Times New Roman" w:hAnsi="Times New Roman"/>
          <w:szCs w:val="21"/>
          <w:lang w:val="ru-RU"/>
        </w:rPr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bCs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/>
          <w:bCs/>
          <w:szCs w:val="21"/>
          <w:lang w:val="ru-RU"/>
        </w:rPr>
        <w:t>Красное освещение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eastAsia="等线" w:cs="Times New Roman" w:eastAsiaTheme="minorHAnsi"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szCs w:val="21"/>
          <w:lang w:val="ru-RU"/>
        </w:rPr>
        <w:t>Когда фонарь включен, зажмите и удерживайте кнопку режима в течение 1 секунды, чтобы перейти в режим красного освещения.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eastAsia="等线" w:cs="Times New Roman" w:eastAsiaTheme="minorHAnsi"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szCs w:val="21"/>
          <w:lang w:val="ru-RU"/>
        </w:rPr>
        <w:t>Когда работает красное освещение, нажимайте на кнопку питания, чтобы переключаться между беспрерывным горением и медленным миганием.</w:t>
      </w:r>
    </w:p>
    <w:p>
      <w:pPr>
        <w:pStyle w:val="Normal"/>
        <w:rPr>
          <w:rFonts w:ascii="Times New Roman" w:hAnsi="Times New Roman" w:eastAsia="等线" w:cs="Times New Roman" w:eastAsiaTheme="minorHAnsi"/>
          <w:szCs w:val="21"/>
          <w:lang w:val="ru-RU"/>
        </w:rPr>
      </w:pPr>
      <w:r>
        <w:rPr>
          <w:rFonts w:eastAsia="等线" w:cs="Times New Roman" w:eastAsiaTheme="minorHAnsi" w:ascii="Times New Roman" w:hAnsi="Times New Roman"/>
          <w:szCs w:val="21"/>
          <w:lang w:val="ru-RU"/>
        </w:rPr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bCs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/>
          <w:bCs/>
          <w:szCs w:val="21"/>
          <w:lang w:val="ru-RU"/>
        </w:rPr>
        <w:t>Переключение между источниками света</w:t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bCs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>Когда фонарь включен</w:t>
      </w:r>
      <w:r>
        <w:rPr>
          <w:rFonts w:eastAsia="等线" w:cs="Times New Roman" w:ascii="Times New Roman" w:hAnsi="Times New Roman" w:eastAsiaTheme="minorHAnsi"/>
          <w:szCs w:val="21"/>
          <w:lang w:val="ru-RU"/>
        </w:rPr>
        <w:t xml:space="preserve">, нажимайте на кнопку режима, чтобы переключаться между следующими источниками света: </w:t>
      </w:r>
      <w:bookmarkStart w:id="3" w:name="_Hlk113022471"/>
      <w:r>
        <w:rPr>
          <w:rFonts w:eastAsia="等线" w:cs="Times New Roman" w:ascii="Times New Roman" w:hAnsi="Times New Roman" w:eastAsiaTheme="minorHAnsi"/>
          <w:szCs w:val="21"/>
          <w:lang w:val="ru-RU"/>
        </w:rPr>
        <w:t>смешанный тип (</w:t>
      </w:r>
      <w:r>
        <w:rPr>
          <w:rFonts w:eastAsia="等线" w:cs="Times New Roman" w:ascii="Times New Roman" w:hAnsi="Times New Roman" w:eastAsiaTheme="minorHAnsi"/>
          <w:bCs/>
          <w:szCs w:val="21"/>
        </w:rPr>
        <w:t>Mix</w:t>
      </w: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 xml:space="preserve">) – </w:t>
      </w:r>
      <w:bookmarkEnd w:id="3"/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>луч узкого спектра (</w:t>
      </w:r>
      <w:r>
        <w:rPr>
          <w:rFonts w:eastAsia="等线" w:cs="Times New Roman" w:ascii="Times New Roman" w:hAnsi="Times New Roman" w:eastAsiaTheme="minorHAnsi"/>
          <w:bCs/>
          <w:szCs w:val="21"/>
        </w:rPr>
        <w:t>Spotlight</w:t>
      </w: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>) – луч широкого спектра (</w:t>
      </w:r>
      <w:r>
        <w:rPr>
          <w:rFonts w:eastAsia="等线" w:cs="Times New Roman" w:ascii="Times New Roman" w:hAnsi="Times New Roman" w:eastAsiaTheme="minorHAnsi"/>
          <w:bCs/>
          <w:szCs w:val="21"/>
        </w:rPr>
        <w:t>Floodlight</w:t>
      </w: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>) – красное освещение (</w:t>
      </w:r>
      <w:r>
        <w:rPr>
          <w:rFonts w:eastAsia="等线" w:cs="Times New Roman" w:ascii="Times New Roman" w:hAnsi="Times New Roman" w:eastAsiaTheme="minorHAnsi"/>
          <w:bCs/>
          <w:szCs w:val="21"/>
        </w:rPr>
        <w:t>Red</w:t>
      </w: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 xml:space="preserve"> </w:t>
      </w:r>
      <w:r>
        <w:rPr>
          <w:rFonts w:eastAsia="等线" w:cs="Times New Roman" w:ascii="Times New Roman" w:hAnsi="Times New Roman" w:eastAsiaTheme="minorHAnsi"/>
          <w:bCs/>
          <w:szCs w:val="21"/>
        </w:rPr>
        <w:t>Light</w:t>
      </w:r>
      <w:r>
        <w:rPr>
          <w:rFonts w:eastAsia="等线" w:cs="Times New Roman" w:ascii="Times New Roman" w:hAnsi="Times New Roman" w:eastAsiaTheme="minorHAnsi"/>
          <w:bCs/>
          <w:szCs w:val="21"/>
          <w:lang w:val="ru-RU"/>
        </w:rPr>
        <w:t>).</w:t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szCs w:val="21"/>
          <w:lang w:val="ru-RU"/>
        </w:rPr>
      </w:pPr>
      <w:r>
        <w:rPr>
          <w:rFonts w:eastAsia="等线" w:cs="Times New Roman" w:eastAsiaTheme="minorHAnsi" w:ascii="Times New Roman" w:hAnsi="Times New Roman"/>
          <w:b/>
          <w:szCs w:val="21"/>
          <w:lang w:val="ru-RU"/>
        </w:rPr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szCs w:val="21"/>
        </w:rPr>
      </w:pPr>
      <w:r>
        <w:rPr>
          <w:rFonts w:eastAsia="等线" w:cs="Times New Roman" w:ascii="Times New Roman" w:hAnsi="Times New Roman" w:eastAsiaTheme="minorHAnsi"/>
          <w:b/>
          <w:szCs w:val="21"/>
          <w:lang w:val="ru-RU"/>
        </w:rPr>
        <w:t xml:space="preserve">Специальные режимы </w:t>
      </w:r>
      <w:r>
        <w:rPr>
          <w:rFonts w:eastAsia="等线" w:cs="Times New Roman" w:ascii="Times New Roman" w:hAnsi="Times New Roman" w:eastAsiaTheme="minorHAnsi"/>
          <w:b/>
          <w:szCs w:val="21"/>
        </w:rPr>
        <w:t xml:space="preserve">(SOS / </w:t>
      </w:r>
      <w:r>
        <w:rPr>
          <w:rFonts w:eastAsia="等线" w:cs="Times New Roman" w:ascii="Times New Roman" w:hAnsi="Times New Roman" w:eastAsiaTheme="minorHAnsi"/>
          <w:b/>
          <w:szCs w:val="21"/>
          <w:lang w:val="ru-RU"/>
        </w:rPr>
        <w:t>МАЯК</w:t>
      </w:r>
      <w:r>
        <w:rPr>
          <w:rFonts w:eastAsia="等线" w:cs="Times New Roman" w:ascii="Times New Roman" w:hAnsi="Times New Roman" w:eastAsiaTheme="minorHAnsi"/>
          <w:b/>
          <w:szCs w:val="21"/>
        </w:rPr>
        <w:t>)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eastAsia="等线" w:cs="Times New Roman" w:eastAsiaTheme="minorHAnsi"/>
          <w:szCs w:val="21"/>
          <w:lang w:val="ru-RU"/>
        </w:rPr>
      </w:pPr>
      <w:bookmarkStart w:id="4" w:name="OLE_LINK3"/>
      <w:r>
        <w:rPr>
          <w:rFonts w:eastAsia="等线" w:cs="Times New Roman" w:ascii="Times New Roman" w:hAnsi="Times New Roman" w:eastAsiaTheme="minorHAnsi"/>
          <w:szCs w:val="21"/>
          <w:lang w:val="ru-RU"/>
        </w:rPr>
        <w:t xml:space="preserve">При нахождении фонаря в любом из режимов дважды нажмите на кнопку режима, чтобы перейти в режим </w:t>
      </w:r>
      <w:r>
        <w:rPr>
          <w:rFonts w:eastAsia="等线" w:cs="Times New Roman" w:ascii="Times New Roman" w:hAnsi="Times New Roman" w:eastAsiaTheme="minorHAnsi"/>
          <w:szCs w:val="21"/>
        </w:rPr>
        <w:t>SOS</w:t>
      </w:r>
      <w:r>
        <w:rPr>
          <w:rFonts w:eastAsia="等线" w:cs="Times New Roman" w:ascii="Times New Roman" w:hAnsi="Times New Roman" w:eastAsiaTheme="minorHAnsi"/>
          <w:szCs w:val="21"/>
          <w:lang w:val="ru-RU"/>
        </w:rPr>
        <w:t>.</w:t>
      </w:r>
      <w:bookmarkEnd w:id="4"/>
    </w:p>
    <w:p>
      <w:pPr>
        <w:pStyle w:val="ListParagraph"/>
        <w:numPr>
          <w:ilvl w:val="0"/>
          <w:numId w:val="8"/>
        </w:numPr>
        <w:rPr>
          <w:rFonts w:ascii="Times New Roman" w:hAnsi="Times New Roman" w:eastAsia="等线" w:cs="Times New Roman" w:eastAsiaTheme="minorHAnsi"/>
          <w:b/>
          <w:b/>
          <w:bCs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szCs w:val="21"/>
          <w:lang w:val="ru-RU"/>
        </w:rPr>
        <w:t xml:space="preserve">При нахождении фонаря в любом из специальных режимов нажимайте на кнопку питания, чтобы переключаться между режимами </w:t>
      </w:r>
      <w:r>
        <w:rPr>
          <w:rFonts w:eastAsia="等线" w:cs="Times New Roman" w:ascii="Times New Roman" w:hAnsi="Times New Roman" w:eastAsiaTheme="minorHAnsi"/>
          <w:szCs w:val="21"/>
        </w:rPr>
        <w:t>SOS</w:t>
      </w:r>
      <w:r>
        <w:rPr>
          <w:rFonts w:eastAsia="等线" w:cs="Times New Roman" w:ascii="Times New Roman" w:hAnsi="Times New Roman" w:eastAsiaTheme="minorHAnsi"/>
          <w:szCs w:val="21"/>
          <w:lang w:val="ru-RU"/>
        </w:rPr>
        <w:t xml:space="preserve"> и МАЯК. Дважды нажмите на кнопку режима еще раз, чтобы вернуться к предыдущему режиму.</w:t>
      </w:r>
    </w:p>
    <w:p>
      <w:pPr>
        <w:pStyle w:val="Normal"/>
        <w:rPr>
          <w:rFonts w:ascii="Times New Roman" w:hAnsi="Times New Roman" w:eastAsia="等线" w:cs="Times New Roman" w:eastAsiaTheme="minorHAnsi"/>
          <w:b/>
          <w:b/>
          <w:bCs/>
          <w:szCs w:val="21"/>
          <w:lang w:val="ru-RU"/>
        </w:rPr>
      </w:pPr>
      <w:r>
        <w:rPr>
          <w:rFonts w:eastAsia="等线" w:cs="Times New Roman" w:eastAsiaTheme="minorHAnsi" w:ascii="Times New Roman" w:hAnsi="Times New Roman"/>
          <w:b/>
          <w:bCs/>
          <w:szCs w:val="21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>Блокировка</w:t>
      </w:r>
      <w:r>
        <w:rPr>
          <w:rFonts w:cs="Times New Roman" w:ascii="Times New Roman" w:hAnsi="Times New Roman"/>
          <w:b/>
          <w:bCs/>
        </w:rPr>
        <w:t xml:space="preserve"> / </w:t>
      </w:r>
      <w:r>
        <w:rPr>
          <w:rFonts w:cs="Times New Roman" w:ascii="Times New Roman" w:hAnsi="Times New Roman"/>
          <w:b/>
          <w:bCs/>
          <w:lang w:val="ru-RU"/>
        </w:rPr>
        <w:t>Разблокировка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Когда фонарь выключен, зажмите и удерживайте обе кнопки в течение 2 секунд, пока фонарь не мигнет 3 раза, сообщая таким образом о переходе в режим блокировки. В режиме блокировки любые уровни яркости и режимы недоступны, и при нажатии на любую из кнопок фонарь будет однократно мигать, сообщая таким образом о нахождении в данном режиме. 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При нахождении устройства в режиме блокировки снова зажмите и удерживайте обе кнопки в течение 2 секунд, затем устройство перейдет в режим сверхнизкого уровня яркости, сообщая таким образом о выходе из режима блокировки. 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bCs/>
          <w:highlight w:val="yellow"/>
          <w:lang w:val="ru-RU"/>
        </w:rPr>
        <w:t>Примечание:</w:t>
      </w:r>
      <w:bookmarkStart w:id="5" w:name="OLE_LINK2"/>
      <w:r>
        <w:rPr>
          <w:rFonts w:cs="Times New Roman" w:ascii="Times New Roman" w:hAnsi="Times New Roman"/>
          <w:highlight w:val="yellow"/>
          <w:lang w:val="ru-RU"/>
        </w:rPr>
        <w:t xml:space="preserve"> </w:t>
      </w:r>
      <w:r>
        <w:rPr>
          <w:rFonts w:cs="Times New Roman" w:ascii="Times New Roman" w:hAnsi="Times New Roman"/>
          <w:highlight w:val="yellow"/>
        </w:rPr>
        <w:t>NU</w:t>
      </w:r>
      <w:r>
        <w:rPr>
          <w:rFonts w:cs="Times New Roman" w:ascii="Times New Roman" w:hAnsi="Times New Roman"/>
          <w:highlight w:val="yellow"/>
          <w:lang w:val="ru-RU"/>
        </w:rPr>
        <w:t>25</w:t>
      </w:r>
      <w:bookmarkEnd w:id="5"/>
      <w:r>
        <w:rPr>
          <w:rFonts w:cs="Times New Roman" w:ascii="Times New Roman" w:hAnsi="Times New Roman"/>
          <w:highlight w:val="yellow"/>
          <w:lang w:val="ru-RU"/>
        </w:rPr>
        <w:t xml:space="preserve"> / </w:t>
      </w:r>
      <w:r>
        <w:rPr>
          <w:rFonts w:cs="Times New Roman" w:ascii="Times New Roman" w:hAnsi="Times New Roman"/>
          <w:highlight w:val="yellow"/>
        </w:rPr>
        <w:t>NU</w:t>
      </w:r>
      <w:r>
        <w:rPr>
          <w:rFonts w:cs="Times New Roman" w:ascii="Times New Roman" w:hAnsi="Times New Roman"/>
          <w:highlight w:val="yellow"/>
          <w:lang w:val="ru-RU"/>
        </w:rPr>
        <w:t xml:space="preserve">25 </w:t>
      </w:r>
      <w:r>
        <w:rPr>
          <w:rFonts w:cs="Times New Roman" w:ascii="Times New Roman" w:hAnsi="Times New Roman"/>
          <w:highlight w:val="yellow"/>
        </w:rPr>
        <w:t>UL</w:t>
      </w:r>
      <w:r>
        <w:rPr>
          <w:rFonts w:cs="Times New Roman" w:ascii="Times New Roman" w:hAnsi="Times New Roman"/>
          <w:highlight w:val="yellow"/>
          <w:lang w:val="ru-RU"/>
        </w:rPr>
        <w:t xml:space="preserve"> автоматически раз</w:t>
      </w:r>
      <w:bookmarkStart w:id="6" w:name="_GoBack"/>
      <w:bookmarkEnd w:id="6"/>
      <w:r>
        <w:rPr>
          <w:rFonts w:cs="Times New Roman" w:ascii="Times New Roman" w:hAnsi="Times New Roman"/>
          <w:highlight w:val="yellow"/>
          <w:lang w:val="ru-RU"/>
        </w:rPr>
        <w:t>блокируется, если полностью зарядится, будучи в режиме блокировки.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Определение уровня заряда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Когда фонарь выключен, нажмите на кнопку режима, после чего загорятся соответствующие индикаторы питания рядом с кнопкой режима и погаснут через две секунды. 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Примечание: </w:t>
      </w:r>
      <w:r>
        <w:rPr>
          <w:rFonts w:cs="Times New Roman" w:ascii="Times New Roman" w:hAnsi="Times New Roman"/>
          <w:lang w:val="ru-RU"/>
        </w:rPr>
        <w:t>Аккумулятор необходимо подзаряжать всегда, когда свет фонаря кажется тусклым или устройство перестает отвечать на команды вследствие низкого заряда.</w:t>
      </w:r>
    </w:p>
    <w:tbl>
      <w:tblPr>
        <w:tblStyle w:val="a8"/>
        <w:tblpPr w:vertAnchor="text" w:horzAnchor="page" w:leftFromText="180" w:rightFromText="180" w:tblpX="1055" w:tblpY="130"/>
        <w:tblW w:w="481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94"/>
        <w:gridCol w:w="2820"/>
      </w:tblGrid>
      <w:tr>
        <w:trPr>
          <w:trHeight w:val="364" w:hRule="atLeast"/>
        </w:trPr>
        <w:tc>
          <w:tcPr>
            <w:tcW w:w="199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val="ru-RU"/>
              </w:rPr>
            </w:pPr>
            <w:r>
              <w:rPr>
                <w:rFonts w:eastAsia="等线" w:cs="Times New Roman" w:ascii="Times New Roman" w:hAnsi="Times New Roman"/>
                <w:b/>
                <w:bCs/>
                <w:kern w:val="2"/>
                <w:sz w:val="21"/>
                <w:szCs w:val="22"/>
                <w:lang w:val="ru-RU" w:eastAsia="zh-CN" w:bidi="ar-SA"/>
              </w:rPr>
              <w:t>Состояние индикаторов</w:t>
            </w:r>
          </w:p>
        </w:tc>
        <w:tc>
          <w:tcPr>
            <w:tcW w:w="28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b/>
                <w:bCs/>
                <w:kern w:val="2"/>
                <w:sz w:val="20"/>
                <w:szCs w:val="20"/>
                <w:lang w:val="ru-RU" w:eastAsia="zh-CN" w:bidi="ar-SA"/>
              </w:rPr>
              <w:t>Уровень заряда</w:t>
            </w:r>
          </w:p>
        </w:tc>
      </w:tr>
      <w:tr>
        <w:trPr>
          <w:trHeight w:val="357" w:hRule="atLeast"/>
        </w:trPr>
        <w:tc>
          <w:tcPr>
            <w:tcW w:w="199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2"/>
                <w:sz w:val="20"/>
                <w:szCs w:val="20"/>
                <w:lang w:val="en-US" w:eastAsia="zh-CN" w:bidi="ar-SA"/>
              </w:rPr>
              <w:t xml:space="preserve">4 </w:t>
            </w:r>
            <w:r>
              <w:rPr>
                <w:rFonts w:eastAsia="DengXian" w:cs="Times New Roman" w:ascii="Times New Roman" w:hAnsi="Times New Roman"/>
                <w:kern w:val="2"/>
                <w:sz w:val="20"/>
                <w:szCs w:val="20"/>
                <w:lang w:val="ru-RU" w:eastAsia="zh-CN" w:bidi="ar-SA"/>
              </w:rPr>
              <w:t>беспрерывно горят</w:t>
            </w:r>
          </w:p>
        </w:tc>
        <w:tc>
          <w:tcPr>
            <w:tcW w:w="28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DengXian" w:cs="Times New Roman" w:ascii="Times New Roman" w:hAnsi="Times New Roman"/>
                <w:kern w:val="2"/>
                <w:sz w:val="20"/>
                <w:szCs w:val="20"/>
                <w:lang w:val="ru-RU" w:eastAsia="zh-CN" w:bidi="ar-SA"/>
              </w:rPr>
              <w:t>Примерно</w:t>
            </w:r>
            <w:r>
              <w:rPr>
                <w:rFonts w:eastAsia="DengXian" w:cs="Times New Roman" w:ascii="Times New Roman" w:hAnsi="Times New Roman"/>
                <w:kern w:val="2"/>
                <w:sz w:val="20"/>
                <w:szCs w:val="20"/>
                <w:lang w:val="en-US" w:eastAsia="zh-CN" w:bidi="ar-SA"/>
              </w:rPr>
              <w:t xml:space="preserve"> 100%</w:t>
            </w:r>
          </w:p>
        </w:tc>
      </w:tr>
      <w:tr>
        <w:trPr>
          <w:trHeight w:val="364" w:hRule="atLeast"/>
        </w:trPr>
        <w:tc>
          <w:tcPr>
            <w:tcW w:w="199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DengXian" w:cs="Times New Roman" w:ascii="Times New Roman" w:hAnsi="Times New Roman"/>
                <w:kern w:val="2"/>
                <w:sz w:val="20"/>
                <w:szCs w:val="20"/>
                <w:lang w:val="en-US" w:eastAsia="zh-CN" w:bidi="ar-SA"/>
              </w:rPr>
              <w:t>3 беспрерывно горят</w:t>
            </w:r>
          </w:p>
        </w:tc>
        <w:tc>
          <w:tcPr>
            <w:tcW w:w="28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DengXian" w:cs="Times New Roman" w:ascii="Times New Roman" w:hAnsi="Times New Roman"/>
                <w:kern w:val="2"/>
                <w:sz w:val="20"/>
                <w:szCs w:val="20"/>
                <w:lang w:val="ru-RU" w:eastAsia="zh-CN" w:bidi="ar-SA"/>
              </w:rPr>
              <w:t>Примерно</w:t>
            </w:r>
            <w:r>
              <w:rPr>
                <w:rFonts w:eastAsia="DengXian" w:cs="Times New Roman" w:ascii="Times New Roman" w:hAnsi="Times New Roman"/>
                <w:kern w:val="2"/>
                <w:sz w:val="20"/>
                <w:szCs w:val="20"/>
                <w:lang w:val="en-US" w:eastAsia="zh-CN" w:bidi="ar-SA"/>
              </w:rPr>
              <w:t xml:space="preserve"> 75%</w:t>
            </w:r>
          </w:p>
        </w:tc>
      </w:tr>
      <w:tr>
        <w:trPr>
          <w:trHeight w:val="364" w:hRule="atLeast"/>
        </w:trPr>
        <w:tc>
          <w:tcPr>
            <w:tcW w:w="199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DengXian" w:cs="Times New Roman" w:ascii="Times New Roman" w:hAnsi="Times New Roman"/>
                <w:kern w:val="2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eastAsia="等线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eastAsia="DengXian" w:cs="Times New Roman" w:ascii="Times New Roman" w:hAnsi="Times New Roman"/>
                <w:kern w:val="2"/>
                <w:sz w:val="20"/>
                <w:szCs w:val="20"/>
                <w:lang w:val="en-US" w:eastAsia="zh-CN" w:bidi="ar-SA"/>
              </w:rPr>
              <w:t>беспрерывно</w:t>
            </w:r>
            <w:r>
              <w:rPr>
                <w:rFonts w:eastAsia="DengXian" w:cs="Times New Roman" w:ascii="Times New Roman" w:hAnsi="Times New Roman"/>
                <w:kern w:val="2"/>
                <w:sz w:val="20"/>
                <w:szCs w:val="20"/>
                <w:lang w:val="ru-RU" w:eastAsia="zh-CN" w:bidi="ar-SA"/>
              </w:rPr>
              <w:t xml:space="preserve"> </w:t>
            </w:r>
            <w:r>
              <w:rPr>
                <w:rFonts w:eastAsia="DengXian" w:cs="Times New Roman" w:ascii="Times New Roman" w:hAnsi="Times New Roman"/>
                <w:kern w:val="2"/>
                <w:sz w:val="20"/>
                <w:szCs w:val="20"/>
                <w:lang w:val="en-US" w:eastAsia="zh-CN" w:bidi="ar-SA"/>
              </w:rPr>
              <w:t>горят</w:t>
            </w:r>
          </w:p>
        </w:tc>
        <w:tc>
          <w:tcPr>
            <w:tcW w:w="28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DengXian" w:cs="Times New Roman" w:ascii="Times New Roman" w:hAnsi="Times New Roman"/>
                <w:kern w:val="2"/>
                <w:sz w:val="20"/>
                <w:szCs w:val="20"/>
                <w:lang w:val="ru-RU" w:eastAsia="zh-CN" w:bidi="ar-SA"/>
              </w:rPr>
              <w:t>Примерно</w:t>
            </w:r>
            <w:r>
              <w:rPr>
                <w:rFonts w:eastAsia="DengXian" w:cs="Times New Roman" w:ascii="Times New Roman" w:hAnsi="Times New Roman"/>
                <w:kern w:val="2"/>
                <w:sz w:val="20"/>
                <w:szCs w:val="20"/>
                <w:lang w:val="en-US" w:eastAsia="zh-CN" w:bidi="ar-SA"/>
              </w:rPr>
              <w:t xml:space="preserve"> 50%</w:t>
            </w:r>
          </w:p>
        </w:tc>
      </w:tr>
      <w:tr>
        <w:trPr>
          <w:trHeight w:val="357" w:hRule="atLeast"/>
        </w:trPr>
        <w:tc>
          <w:tcPr>
            <w:tcW w:w="199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2"/>
                <w:sz w:val="20"/>
                <w:szCs w:val="20"/>
                <w:lang w:val="en-US" w:eastAsia="zh-CN" w:bidi="ar-SA"/>
              </w:rPr>
              <w:t xml:space="preserve">1 </w:t>
            </w:r>
            <w:r>
              <w:rPr>
                <w:rFonts w:eastAsia="DengXian" w:cs="Times New Roman" w:ascii="Times New Roman" w:hAnsi="Times New Roman"/>
                <w:kern w:val="2"/>
                <w:sz w:val="20"/>
                <w:szCs w:val="20"/>
                <w:lang w:val="ru-RU" w:eastAsia="zh-CN" w:bidi="ar-SA"/>
              </w:rPr>
              <w:t>беспрерывно горит</w:t>
            </w:r>
          </w:p>
        </w:tc>
        <w:tc>
          <w:tcPr>
            <w:tcW w:w="282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2"/>
                <w:sz w:val="20"/>
                <w:szCs w:val="20"/>
                <w:lang w:val="ru-RU" w:eastAsia="zh-CN" w:bidi="ar-SA"/>
              </w:rPr>
              <w:t xml:space="preserve">Примерно 25% </w:t>
            </w:r>
            <w:r>
              <w:rPr>
                <w:rFonts w:eastAsia="DengXian" w:cs="Times New Roman" w:ascii="Times New Roman" w:hAnsi="Times New Roman"/>
                <w:kern w:val="0"/>
                <w:sz w:val="20"/>
                <w:szCs w:val="20"/>
                <w:lang w:val="ru-RU" w:eastAsia="zh-CN" w:bidi="ar-SA"/>
              </w:rPr>
              <w:t>(Пожалуйста, подзарядите устройство как можно скорее)</w:t>
            </w:r>
          </w:p>
        </w:tc>
      </w:tr>
    </w:tbl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Меры предосторожности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等线" w:cs="Times New Roman" w:eastAsiaTheme="minorHAnsi"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szCs w:val="21"/>
          <w:lang w:val="ru-RU"/>
        </w:rPr>
        <w:t>Внимание! Возможно опасное излучение! Не направляйте световой луч в глаза, поскольку это может нанести им существенный вред.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等线" w:cs="Times New Roman" w:eastAsiaTheme="minorHAnsi"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szCs w:val="21"/>
          <w:lang w:val="ru-RU"/>
        </w:rPr>
        <w:t>НЕ разбирайте и ничего не меняйте в устройстве налобного фонаря, так как это может привести к его повреждению и аннулированию гарантии на продукт. Пожалуйста, обратитесь к разделу гарантийного обслуживания данного руководства за более подробной информацией.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等线" w:cs="Times New Roman" w:eastAsiaTheme="minorHAnsi"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szCs w:val="21"/>
          <w:lang w:val="ru-RU"/>
        </w:rPr>
        <w:t>При хранении устройства в рюкзаке, пожалуйста, не забывайте активировать режим блокировки, чтобы предотвратить случайное включение фонаря.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等线" w:cs="Times New Roman" w:eastAsiaTheme="minorHAnsi"/>
          <w:szCs w:val="21"/>
          <w:lang w:val="ru-RU"/>
        </w:rPr>
      </w:pPr>
      <w:r>
        <w:rPr>
          <w:rFonts w:eastAsia="等线" w:cs="Times New Roman" w:ascii="Times New Roman" w:hAnsi="Times New Roman" w:eastAsiaTheme="minorHAnsi"/>
          <w:szCs w:val="21"/>
          <w:lang w:val="ru-RU"/>
        </w:rPr>
        <w:t>Пожалуйста, перезаряжайте устройство каждые 3 месяца, если вы не планируете им пользоваться в течение длительного времени.</w:t>
      </w:r>
    </w:p>
    <w:p>
      <w:pPr>
        <w:pStyle w:val="Normal"/>
        <w:rPr>
          <w:rFonts w:ascii="Times New Roman" w:hAnsi="Times New Roman" w:eastAsia="等线" w:cs="Times New Roman" w:eastAsiaTheme="minorHAnsi"/>
          <w:szCs w:val="21"/>
          <w:lang w:val="ru-RU"/>
        </w:rPr>
      </w:pPr>
      <w:r>
        <w:rPr>
          <w:rFonts w:eastAsia="等线" w:cs="Times New Roman" w:eastAsiaTheme="minorHAnsi" w:ascii="Times New Roman" w:hAnsi="Times New Roman"/>
          <w:szCs w:val="21"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>Гарантийное обслуживание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Вся продукция компании NITECORE® имеет гарантию качества. Любое неработающее/бракованное изделие может быть заменено у местного дистрибьютора/дилера в течение 15 дней после приобретения. По истечении 15 дней любое неработающее/бракованное изделие NITECORE® можно бесплатно отремонтировать в течение 24 месяцев с даты приобретения. По окончании 24 месяцев вступает в силу ограниченная гарантия, покрывающая стоимость работы и технического обслуживания, но не стоимость запасных частей и комплектующих.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Гарантия будет аннулирована, если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1. Изделие(-я) повреждено(-ы), либо в его(их) конструкцию внесены изменения лицами, не имеющими на то соответствующих полномочий;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2. Изделие(-я) повреждено(-ы) в результате неправильной эксплуатации.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Для получения последней информации о продукции NITECORE обращайтесь к местному дистрибьютору либо отправьте электронное сообщение на адрес service@nitecore.com.</w:t>
      </w:r>
    </w:p>
    <w:p>
      <w:pPr>
        <w:pStyle w:val="Normal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※</w:t>
      </w:r>
      <w:r>
        <w:rPr>
          <w:rFonts w:cs="Times New Roman" w:ascii="Times New Roman" w:hAnsi="Times New Roman"/>
          <w:lang w:val="ru-RU"/>
        </w:rPr>
        <w:t>Все изображения, тексты и заявления, содержащиеся в настоящем руководстве, могут быть использованы только в справочных целях. В случае возникновения каких-либо расхождений между данным руководством и информацией, указанной на сайте www.nitecore.com, компания Sysmax Industry Co., Ltd. оставляет за собой право толкования и изменения содержания настоящего документа в любой момент времени без предварительного уведомления.</w:t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lines" w:linePitch="312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等线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b w:val="fals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/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/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等线" w:hAnsi="等线" w:eastAsia="等线" w:cs="" w:asciiTheme="minorHAnsi" w:cstheme="minorBidi" w:eastAsiaTheme="minorEastAsia" w:hAnsiTheme="minorHAnsi"/>
        <w:kern w:val="2"/>
        <w:sz w:val="21"/>
        <w:szCs w:val="22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0dcb"/>
    <w:pPr>
      <w:widowControl w:val="false"/>
      <w:bidi w:val="0"/>
      <w:spacing w:before="0" w:after="0"/>
      <w:jc w:val="both"/>
    </w:pPr>
    <w:rPr>
      <w:rFonts w:ascii="等线" w:hAnsi="等线" w:eastAsia="等线" w:cs="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b00c95"/>
    <w:rPr>
      <w:sz w:val="18"/>
      <w:szCs w:val="18"/>
    </w:rPr>
  </w:style>
  <w:style w:type="character" w:styleId="Style15" w:customStyle="1">
    <w:name w:val="Нижний колонтитул Знак"/>
    <w:basedOn w:val="DefaultParagraphFont"/>
    <w:uiPriority w:val="99"/>
    <w:qFormat/>
    <w:rsid w:val="00b00c95"/>
    <w:rPr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Source Han Sans CN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b00c95"/>
    <w:pPr>
      <w:pBdr>
        <w:bottom w:val="single" w:sz="6" w:space="1" w:color="000000"/>
      </w:pBdr>
      <w:tabs>
        <w:tab w:val="clear" w:pos="420"/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Style23">
    <w:name w:val="Footer"/>
    <w:basedOn w:val="Normal"/>
    <w:link w:val="Style15"/>
    <w:uiPriority w:val="99"/>
    <w:unhideWhenUsed/>
    <w:rsid w:val="00b00c95"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4a0dcb"/>
    <w:pPr>
      <w:ind w:firstLine="42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qFormat/>
    <w:rsid w:val="00c354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Application>LibreOffice/7.3.2.2$Windows_X86_64 LibreOffice_project/49f2b1bff42cfccbd8f788c8dc32c1c309559be0</Application>
  <AppVersion>15.0000</AppVersion>
  <Pages>6</Pages>
  <Words>1240</Words>
  <Characters>7436</Characters>
  <CharactersWithSpaces>8504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2022-08-30T09:38:00Z</dcterms:created>
  <dc:creator>尤 加宜</dc:creator>
  <dc:description/>
  <dc:language>ru-RU</dc:language>
  <cp:lastModifiedBy>НР</cp:lastModifiedBy>
  <dcterms:modified xsi:type="dcterms:W3CDTF">2022-09-14T09:52:00Z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