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Руководство пользователя </w:t>
      </w:r>
      <w:r>
        <w:rPr>
          <w:rFonts w:cs="Times New Roman" w:ascii="Times New Roman" w:hAnsi="Times New Roman"/>
          <w:b/>
          <w:bCs/>
        </w:rPr>
        <w:t xml:space="preserve">MH40S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Об устройстве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Задействует светодиод Luminengin G9 с максимальной мощностью 1500 люмен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Пиковая интенсивность луча равна 570 000 кд, а максимальная дальность – 1500 метрам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Оптическая система в сочетании с кристаллическим покрытием и «Прецизионной Цифровой Оптической Технологией» (PDOT)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Получает питание от 2-х 21700 литий-ионных аккумуляторов большой емкости, обеспечивающих время работы до 105 часов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Сообщает о низком уровне заряда с помощью вибрации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4 уровня яркости и 3 специальных режима, которыми можно управлять с помощью переключателя и кнопки режима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В режиме STROBE изменяется частота мерцания, что вызывает более сильное головокружение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Индикатор питания под кнопкой режима сообщает оставшийся заряд батареи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Интеллектуальная схема зарядки литий-ионного аккумулятора посредством порта USB-C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В комплекте полагаются литий-ионные аккумуляторы NITECORE 21700 (NL2150 5000 мАч)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Высокоэффективная схема постоянного тока обеспечивает стабильную выходную мощность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Встроен модуль усовершенствованного регулирования температуры (ATR) (патент № ZL201510534543.6)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Оптические линзы с двухсторонним покрытием, устойчивым к царапинам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Изготовлен из алюминиевого сплава с твердым анодированием военного класса HA III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Водонепроницаемость и пыленепроницаемость соответствуют стандарту IP68 (возможно погружение на глубину до 2 метров)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Ударопрочность при падении с высоты до 1 метра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Размеры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Длина: 256 мм (10,08 дюйма)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Диаметр головной части: 65 мм (2,56 дюйма)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Диаметр корпуса: 25,8 мм (1,02 дюйма)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Диаметр хвостовой части: 27,2 мм (1,07 дюйма)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Вес: 245,8 г (8,67 унции)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Комплектующие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2 литий-ионных аккумулятора NITECORE 21700 (NL2150 5000 мАч), запасное уплотнительное кольцо, ремешок, сетевой адаптер быстрой зарядки, зарядный кабель USB-C, чехол, набор для беспроводного дистанционного переключателя (беспроводной дистанционный переключатель, застежка-липучка, 2 ремня на липучке, 2 крепления для планки Пикатинни)</w:t>
      </w:r>
    </w:p>
    <w:p>
      <w:pPr>
        <w:pStyle w:val="Normal"/>
        <w:ind w:right="-19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Элементы питания</w:t>
      </w:r>
    </w:p>
    <w:tbl>
      <w:tblPr>
        <w:tblStyle w:val="1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7"/>
        <w:gridCol w:w="993"/>
        <w:gridCol w:w="1841"/>
        <w:gridCol w:w="2064"/>
      </w:tblGrid>
      <w:tr>
        <w:trPr/>
        <w:tc>
          <w:tcPr>
            <w:tcW w:w="339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Тип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Номинальное напряжение</w:t>
            </w:r>
          </w:p>
        </w:tc>
        <w:tc>
          <w:tcPr>
            <w:tcW w:w="206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Совместимость</w:t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 xml:space="preserve">Перезаряжаемый литий-ионный аккумулятор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 xml:space="preserve">21700 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21700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 xml:space="preserve">3.6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 xml:space="preserve">В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/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 xml:space="preserve">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3.7 В</w:t>
            </w:r>
          </w:p>
        </w:tc>
        <w:tc>
          <w:tcPr>
            <w:tcW w:w="206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Y (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Рекомендуется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Перезаряжаемый литий-ионный аккумулятор 18650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18650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3.6 В /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 xml:space="preserve">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3.7 В</w:t>
            </w:r>
          </w:p>
        </w:tc>
        <w:tc>
          <w:tcPr>
            <w:tcW w:w="206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N (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Несовместим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Литиевый аккумулятор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*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CR123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3 В</w:t>
            </w:r>
          </w:p>
        </w:tc>
        <w:tc>
          <w:tcPr>
            <w:tcW w:w="206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N (Несовместим)</w:t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Перезаряжаемый литий-ионный*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RCR123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3.6 В /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 xml:space="preserve">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3.7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 xml:space="preserve">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В</w:t>
            </w:r>
          </w:p>
        </w:tc>
        <w:tc>
          <w:tcPr>
            <w:tcW w:w="206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N (Несовместим)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Примечание:</w:t>
      </w:r>
      <w:r>
        <w:rPr>
          <w:rFonts w:cs="Times New Roman" w:ascii="Times New Roman" w:hAnsi="Times New Roman"/>
          <w:lang w:val="ru-RU"/>
        </w:rPr>
        <w:t xml:space="preserve"> НЕ пытайтесь использовать </w:t>
      </w:r>
      <w:r>
        <w:rPr>
          <w:rFonts w:cs="Times New Roman" w:ascii="Times New Roman" w:hAnsi="Times New Roman"/>
        </w:rPr>
        <w:t>MH</w:t>
      </w:r>
      <w:r>
        <w:rPr>
          <w:rFonts w:cs="Times New Roman" w:ascii="Times New Roman" w:hAnsi="Times New Roman"/>
          <w:lang w:val="ru-RU"/>
        </w:rPr>
        <w:t>40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  <w:lang w:val="ru-RU"/>
        </w:rPr>
        <w:t xml:space="preserve"> для заряда аккумуляторов </w:t>
      </w:r>
      <w:r>
        <w:rPr>
          <w:rFonts w:cs="Times New Roman" w:ascii="Times New Roman" w:hAnsi="Times New Roman"/>
        </w:rPr>
        <w:t>CR</w:t>
      </w:r>
      <w:r>
        <w:rPr>
          <w:rFonts w:cs="Times New Roman" w:ascii="Times New Roman" w:hAnsi="Times New Roman"/>
          <w:lang w:val="ru-RU"/>
        </w:rPr>
        <w:t xml:space="preserve">123 / </w:t>
      </w:r>
      <w:r>
        <w:rPr>
          <w:rFonts w:cs="Times New Roman" w:ascii="Times New Roman" w:hAnsi="Times New Roman"/>
        </w:rPr>
        <w:t>RCR</w:t>
      </w:r>
      <w:r>
        <w:rPr>
          <w:rFonts w:cs="Times New Roman" w:ascii="Times New Roman" w:hAnsi="Times New Roman"/>
          <w:lang w:val="ru-RU"/>
        </w:rPr>
        <w:t>123.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Технические характеристики</w:t>
      </w:r>
    </w:p>
    <w:tbl>
      <w:tblPr>
        <w:tblStyle w:val="a8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3"/>
        <w:gridCol w:w="1141"/>
        <w:gridCol w:w="1143"/>
        <w:gridCol w:w="1031"/>
        <w:gridCol w:w="920"/>
        <w:gridCol w:w="937"/>
        <w:gridCol w:w="1015"/>
        <w:gridCol w:w="1049"/>
      </w:tblGrid>
      <w:tr>
        <w:trPr>
          <w:cantSplit w:val="true"/>
        </w:trPr>
        <w:tc>
          <w:tcPr>
            <w:tcW w:w="1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Стандарт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FL1</w: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ТУРБО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ВЫСОКИЙ</w:t>
            </w:r>
          </w:p>
        </w:tc>
        <w:tc>
          <w:tcPr>
            <w:tcW w:w="10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СРЕДНИЙ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НИЗКИЙ</w:t>
            </w:r>
          </w:p>
        </w:tc>
        <w:tc>
          <w:tcPr>
            <w:tcW w:w="93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STROBE</w:t>
            </w:r>
          </w:p>
        </w:tc>
        <w:tc>
          <w:tcPr>
            <w:tcW w:w="10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МАЯК</w:t>
            </w:r>
          </w:p>
        </w:tc>
        <w:tc>
          <w:tcPr>
            <w:tcW w:w="10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SOS</w:t>
            </w:r>
          </w:p>
        </w:tc>
      </w:tr>
      <w:tr>
        <w:trPr>
          <w:cantSplit w:val="true"/>
        </w:trPr>
        <w:tc>
          <w:tcPr>
            <w:tcW w:w="1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314325" cy="190500"/>
                  <wp:effectExtent l="0" t="0" r="0" b="0"/>
                  <wp:docPr id="1" name="图片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1,500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люмен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500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люмен</w:t>
            </w:r>
          </w:p>
        </w:tc>
        <w:tc>
          <w:tcPr>
            <w:tcW w:w="10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150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люмен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18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люмен</w:t>
            </w:r>
          </w:p>
        </w:tc>
        <w:tc>
          <w:tcPr>
            <w:tcW w:w="93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1,500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люмен</w:t>
            </w:r>
          </w:p>
        </w:tc>
        <w:tc>
          <w:tcPr>
            <w:tcW w:w="10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1,500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люмен</w:t>
            </w:r>
          </w:p>
        </w:tc>
        <w:tc>
          <w:tcPr>
            <w:tcW w:w="10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1,500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люмен</w:t>
            </w:r>
          </w:p>
        </w:tc>
      </w:tr>
      <w:tr>
        <w:trPr>
          <w:cantSplit w:val="true"/>
        </w:trPr>
        <w:tc>
          <w:tcPr>
            <w:tcW w:w="1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190500" cy="184785"/>
                  <wp:effectExtent l="0" t="0" r="0" b="0"/>
                  <wp:docPr id="2" name="图片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3 ч 15 мин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7 ч 15 мин</w:t>
            </w:r>
          </w:p>
        </w:tc>
        <w:tc>
          <w:tcPr>
            <w:tcW w:w="10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25 ч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105 ч</w:t>
            </w:r>
          </w:p>
        </w:tc>
        <w:tc>
          <w:tcPr>
            <w:tcW w:w="93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  <w:tc>
          <w:tcPr>
            <w:tcW w:w="10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  <w:tc>
          <w:tcPr>
            <w:tcW w:w="10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</w:tr>
      <w:tr>
        <w:trPr>
          <w:cantSplit w:val="true"/>
        </w:trPr>
        <w:tc>
          <w:tcPr>
            <w:tcW w:w="1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238125" cy="189230"/>
                  <wp:effectExtent l="0" t="0" r="0" b="0"/>
                  <wp:docPr id="3" name="图片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1,500 м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860 м</w:t>
            </w:r>
          </w:p>
        </w:tc>
        <w:tc>
          <w:tcPr>
            <w:tcW w:w="10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450 м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150 м</w:t>
            </w:r>
          </w:p>
        </w:tc>
        <w:tc>
          <w:tcPr>
            <w:tcW w:w="93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  <w:tc>
          <w:tcPr>
            <w:tcW w:w="10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  <w:tc>
          <w:tcPr>
            <w:tcW w:w="10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</w:tr>
      <w:tr>
        <w:trPr>
          <w:cantSplit w:val="true"/>
        </w:trPr>
        <w:tc>
          <w:tcPr>
            <w:tcW w:w="1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inline distT="0" distB="0" distL="0" distR="0" wp14:anchorId="7323862B">
                      <wp:extent cx="200025" cy="173990"/>
                      <wp:effectExtent l="0" t="0" r="0" b="0"/>
                      <wp:docPr id="4" name="Фигура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Фигура1" descr="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 flipH="1" rot="10800000">
                                <a:off x="0" y="0"/>
                                <a:ext cx="200160" cy="1738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Фигура1" stroked="f" o:allowincell="f" style="position:absolute;margin-left:0pt;margin-top:-13.75pt;width:15.7pt;height:13.65pt;mso-wrap-style:none;v-text-anchor:middle;rotation:180;mso-position-vertical:top" wp14:anchorId="7323862B" type="_x0000_t75">
                      <v:imagedata r:id="rId6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570,000 кд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186,000 кд</w:t>
            </w:r>
          </w:p>
        </w:tc>
        <w:tc>
          <w:tcPr>
            <w:tcW w:w="10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51,000 кд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5,800 кд</w:t>
            </w:r>
          </w:p>
        </w:tc>
        <w:tc>
          <w:tcPr>
            <w:tcW w:w="93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  <w:tc>
          <w:tcPr>
            <w:tcW w:w="10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  <w:tc>
          <w:tcPr>
            <w:tcW w:w="10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</w:tr>
      <w:tr>
        <w:trPr>
          <w:cantSplit w:val="true"/>
        </w:trPr>
        <w:tc>
          <w:tcPr>
            <w:tcW w:w="1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228600" cy="186055"/>
                  <wp:effectExtent l="0" t="0" r="0" b="0"/>
                  <wp:docPr id="5" name="图片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1 м (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Ударопрочность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</w:tr>
      <w:tr>
        <w:trPr>
          <w:cantSplit w:val="true"/>
        </w:trPr>
        <w:tc>
          <w:tcPr>
            <w:tcW w:w="1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304800" cy="187325"/>
                  <wp:effectExtent l="0" t="0" r="0" b="0"/>
                  <wp:docPr id="6" name="图片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IP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68, 2 м (Защита от влаги и возможность погружения)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Примечание: </w:t>
      </w:r>
      <w:r>
        <w:rPr>
          <w:rFonts w:cs="Times New Roman" w:ascii="Times New Roman" w:hAnsi="Times New Roman"/>
          <w:lang w:val="ru-RU"/>
        </w:rPr>
        <w:t xml:space="preserve">Приведенные данные получены в лабораторных условиях в соответствии с международными стандартами тестирования фонарей </w:t>
      </w:r>
      <w:r>
        <w:rPr>
          <w:rFonts w:cs="Times New Roman" w:ascii="Times New Roman" w:hAnsi="Times New Roman"/>
        </w:rPr>
        <w:t>ANSI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</w:rPr>
        <w:t>PLATO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FL</w:t>
      </w:r>
      <w:r>
        <w:rPr>
          <w:rFonts w:cs="Times New Roman" w:ascii="Times New Roman" w:hAnsi="Times New Roman"/>
          <w:lang w:val="ru-RU"/>
        </w:rPr>
        <w:t xml:space="preserve"> 1-2019 при использовании 2-х литий-ионных аккумуляторов 21700 (5,000 мАч). При эксплуатации данные могут оказаться иными вследствие использования других элементов питания или влияния условий окружающей среды.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Функция зарядки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margin">
              <wp:posOffset>3750310</wp:posOffset>
            </wp:positionH>
            <wp:positionV relativeFrom="paragraph">
              <wp:posOffset>854075</wp:posOffset>
            </wp:positionV>
            <wp:extent cx="2962275" cy="2337435"/>
            <wp:effectExtent l="0" t="0" r="0" b="0"/>
            <wp:wrapSquare wrapText="bothSides"/>
            <wp:docPr id="7" name="图片 2" descr="E:\Tencent Files\1444091182\Image\C2C\46BJFG9M(TK18DE}C4@I[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E:\Tencent Files\1444091182\Image\C2C\46BJFG9M(TK18DE}C4@I[2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lang w:val="ru-RU"/>
        </w:rPr>
        <w:t xml:space="preserve">MH40S оснащен интеллектуальной схемой зарядки. После установки аккумулятора и закручивания задней крышки снимите резиновую крышку и подключите к фонарю </w:t>
      </w:r>
      <w:r>
        <w:rPr>
          <w:rFonts w:cs="Times New Roman" w:ascii="Times New Roman" w:hAnsi="Times New Roman"/>
        </w:rPr>
        <w:t>USB</w:t>
      </w:r>
      <w:r>
        <w:rPr>
          <w:rFonts w:cs="Times New Roman" w:ascii="Times New Roman" w:hAnsi="Times New Roman"/>
          <w:lang w:val="ru-RU"/>
        </w:rPr>
        <w:t>-кабель, как показано на иллюстрации, для подсоединения его к внешнему источнику питания (USB-адаптеру или другому устройству с USB-входом для зарядки). внешний источник питания (например, USB-адаптер или другое USB-устройство для зарядки) к зарядному порту. Затем нажмите на задний переключатель, чтобы началась зарядка.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Во время зарядки индикатор питания под кнопкой режима будет медленно мигать, сообщая об этом таким образом пользователю.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При обнаружении проблемы в процессе зарядки (выключенный фонарик / повреждение аккумуляторов / несоответствующий тип аккумулятора) MH40S автоматически остановит зарядку, а индикатор питания погаснет или быстро замигает, информируя таким образом пользователя о возникшей проблеме.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Когда аккумуляторы будут полностью заряжены, MH40S остановит зарядку и индикатор питания начнет беспрерывно гореть, информируя таким образом об этом пользователя.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Если работающий фонарик подключить к источнику питания свет автоматически выключится. Фонарь снова загорится, как только его отсоединят от источника питания.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Время зарядки двух литий-ионных аккумуляторов 21700 (5000 мАч) составляет приблизительно 2 часа 45 минут. (При заряде через адаптер QC 12 В / 1,5 А)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Примечание: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Задний переключатель должен быть включен во время зарядки.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НЕ заряжайте аккумуляторы других типов и марок.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Инструкции по эксплуатации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3209925</wp:posOffset>
            </wp:positionH>
            <wp:positionV relativeFrom="paragraph">
              <wp:posOffset>15875</wp:posOffset>
            </wp:positionV>
            <wp:extent cx="3891280" cy="2027555"/>
            <wp:effectExtent l="0" t="0" r="0" b="0"/>
            <wp:wrapSquare wrapText="bothSides"/>
            <wp:docPr id="8" name="图片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lang w:val="ru-RU"/>
        </w:rPr>
        <w:t>Установка / извлечение аккумуляторов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Втавьте / извлеките аккумуляторы,</w:t>
      </w:r>
      <w:r>
        <w:rPr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открутив крышку батарейного отсека, как показано на иллюстрации, и затем закрутите ее обратно.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Внимание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Устанавливайте аккумуляторы положительным зарядом в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направлении головной части фонаря. В противном случае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ru-RU"/>
        </w:rPr>
        <w:t>фонарь не будет функционировать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ВАЖНО! Возможно опасное излучение. Не смотрите на излучаемый свет! Может быть опасно для ваших глаз.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3. Если аккумуляторы разрядились, пожалуйста, перестаньте пользоваться фонарем и поменяйте либо подзарядите аккумуляторы во избежание их повреждения.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4. Если вы храните продукт в рюкзаке или оставляете его без использования на протяжении длительного времени, пожалуйста, вытащите из него все аккумуляторы во избежание их протечки или случайной активации фонаря.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Моментальное освещение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ru-RU"/>
        </w:rPr>
        <w:t>При выключенном фонаре наполовину нажмите и удерживайте задний переключатель, чтобы включить моментальное освещение. Отпустите переключатель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ru-RU"/>
        </w:rPr>
        <w:t>чтобы выключить его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Включение</w:t>
      </w:r>
      <w:r>
        <w:rPr>
          <w:rFonts w:cs="Times New Roman" w:ascii="Times New Roman" w:hAnsi="Times New Roman"/>
          <w:b/>
        </w:rPr>
        <w:t xml:space="preserve"> / </w:t>
      </w:r>
      <w:r>
        <w:rPr>
          <w:rFonts w:cs="Times New Roman" w:ascii="Times New Roman" w:hAnsi="Times New Roman"/>
          <w:b/>
          <w:lang w:val="ru-RU"/>
        </w:rPr>
        <w:t>Выключение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Включение: когда фонарь выключен, зажмите и удерживайте задний переключатель, пока не услышите звук щелчка, чтобы включить его.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Выключение: когда фонарь включен, зажмите и удерживайте задний переключатель, пока не услышите звук щелчка, чтобы выключить его.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(У MH40S есть функция запоминания последнего установленного режима. При повторной активации фонарь автоматически перейдет к последнему установленному уровню яркости или режиму </w:t>
      </w:r>
      <w:r>
        <w:rPr>
          <w:rFonts w:cs="Times New Roman" w:ascii="Times New Roman" w:hAnsi="Times New Roman"/>
        </w:rPr>
        <w:t>STROBE</w:t>
      </w:r>
      <w:r>
        <w:rPr>
          <w:rFonts w:cs="Times New Roman" w:ascii="Times New Roman" w:hAnsi="Times New Roman"/>
          <w:lang w:val="ru-RU"/>
        </w:rPr>
        <w:t>.)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Уровни яркости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При включенном фонаре кратковременно нажимайте на кнопку режима, чтобы переключаться между следующими уровнями яркости: НИЗКИЙ – СРЕДНИЙ – ВЫСОКИЙ – ТУРБО.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Специальные режимы (</w:t>
      </w:r>
      <w:r>
        <w:rPr>
          <w:rFonts w:cs="Times New Roman" w:ascii="Times New Roman" w:hAnsi="Times New Roman"/>
          <w:b/>
        </w:rPr>
        <w:t>STROBE</w:t>
      </w:r>
      <w:r>
        <w:rPr>
          <w:rFonts w:cs="Times New Roman" w:ascii="Times New Roman" w:hAnsi="Times New Roman"/>
          <w:b/>
          <w:lang w:val="ru-RU"/>
        </w:rPr>
        <w:t xml:space="preserve"> / МАЯК / </w:t>
      </w:r>
      <w:r>
        <w:rPr>
          <w:rFonts w:cs="Times New Roman" w:ascii="Times New Roman" w:hAnsi="Times New Roman"/>
          <w:b/>
        </w:rPr>
        <w:t>SOS</w:t>
      </w:r>
      <w:r>
        <w:rPr>
          <w:rFonts w:cs="Times New Roman" w:ascii="Times New Roman" w:hAnsi="Times New Roman"/>
          <w:b/>
          <w:lang w:val="ru-RU"/>
        </w:rPr>
        <w:t>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При включенном фонаре долго удерживайте кнопку режима, чтобы переключаться между следующими специальными режимами: </w:t>
      </w:r>
      <w:r>
        <w:rPr>
          <w:rFonts w:cs="Times New Roman" w:ascii="Times New Roman" w:hAnsi="Times New Roman"/>
        </w:rPr>
        <w:t>STROBE</w:t>
      </w:r>
      <w:r>
        <w:rPr>
          <w:rFonts w:cs="Times New Roman" w:ascii="Times New Roman" w:hAnsi="Times New Roman"/>
          <w:lang w:val="ru-RU"/>
        </w:rPr>
        <w:t xml:space="preserve"> — МАЯК — SOS. Отпустите кнопку, чтобы выбрать нужный специальный режим. Снова кратковременно нажмите на кнопку режима, чтобы вернуться к предыдущему состоянию; или нажмите задний переключатель, чтобы выключить свет.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Беспроводной дистанционный переключатель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MH40S оснащен специальным беспроводным дистанционным переключателем, который позволяет управлять им на дистанции. После сопряжения кнопки на беспроводном дистанционном переключателе обладают тем же функционалом, что и кнопки на фонарике. Сопряжение было настроено еще на заводе перед упаковкой продукта.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Дистанционный переключатель питается от 1 батарейки-таблетки 3 В CR1632, которая обеспечивает приблизительно 4000 нажатий. Время работы в режиме ожидания составляет около 12 месяцев, если в переключатель была вставлена новая батарейка.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Если на дистанции между фонариком и беспроводным дистанционным переключателем нет никаких препятствий, эффективный диапазон управления фонарем составляет 1 м (39,37 дюйма).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Если батарейку-таблетку необходимо заменить, откройте крышку батарейного отсека беспроводного переключателя ногтем или ключом и затем извлеките батарейку.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Пожалуйста, следуйте инструкциям ниже, если вам необходимо повторное сопряжение беспроводного дистанционного переключателя с фонариком.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После установки батарей и закручивания задней крышки кратковременно нажмите на задний переключатель, удерживая при этом кнопку режима в течение 5 секунд, индикатор начнет быстро мигать, сообщая таким образом о пребывании в статусе ожидания сопряжения.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Когда фонарик перейдет в статус ожидания сопряжения, зажмите одновременно обе кнопки A и B на переключателе до тех пор, пока фонарик не начнет беспрерывно работать.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Примечание: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Если включить фонарик после его перехода в ожидание сопряжения, он автоматически выйдет из режима ожидания.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Убедитесь, что расстояние между фонариком и беспроводным дистанционным переключателем не превышает 1 м во время сопряжения.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3. Если заряд аккумулятора фонарика низкий, замените или перезарядите аккумуляторы. После замены аккумуляторов вам не придется заново сопрягать фонарь с дистанционным переключателем.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Включение / Выключение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Только когда </w:t>
      </w:r>
      <w:r>
        <w:rPr>
          <w:rFonts w:cs="Times New Roman" w:ascii="Times New Roman" w:hAnsi="Times New Roman"/>
        </w:rPr>
        <w:t>MH</w:t>
      </w:r>
      <w:r>
        <w:rPr>
          <w:rFonts w:cs="Times New Roman" w:ascii="Times New Roman" w:hAnsi="Times New Roman"/>
          <w:lang w:val="ru-RU"/>
        </w:rPr>
        <w:t>40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  <w:lang w:val="ru-RU"/>
        </w:rPr>
        <w:t xml:space="preserve"> включен, он сможет подсоединиться к дистанционному переключателю, с помощью которого им можно будет управлять.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Включение: когда фонарь выключен, нажмите кнопку 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  <w:lang w:val="ru-RU"/>
        </w:rPr>
        <w:t xml:space="preserve"> до конца, чтобы включить его.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Выключение: когда фонарь включен, нажмите кнопку 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  <w:lang w:val="ru-RU"/>
        </w:rPr>
        <w:t xml:space="preserve"> до конца, чтобы выключить его.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4407535</wp:posOffset>
            </wp:positionH>
            <wp:positionV relativeFrom="paragraph">
              <wp:posOffset>7620</wp:posOffset>
            </wp:positionV>
            <wp:extent cx="1908810" cy="2310130"/>
            <wp:effectExtent l="0" t="0" r="0" b="0"/>
            <wp:wrapSquare wrapText="bothSides"/>
            <wp:docPr id="9" name="图片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0" r="591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lang w:val="ru-RU"/>
        </w:rPr>
        <w:t>Примечание: когда фонарь выключен, индикатор питания под кнопкой режима будет мигать каждые 5 секунд, сообщая таким образом пользователю о том, что с фонариком сопряжен беспроводной пульт дистанционного управления. Если в течение 2 часов не производить никаких действий, беспроводной пульт дистанционного управления автоматически отключится от фонарика.</w:t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Регулирование уровня яркости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При включенном фонаре нажимайте кнопку 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  <w:lang w:val="ru-RU"/>
        </w:rPr>
        <w:t xml:space="preserve"> наполовину, чтобы переключаться между следующими уровнями яркости: НИЗКИЙ – СРЕДНИЙ – ВЫСОКИЙ – ТУРБО.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Переход в режим ТУРБО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При включенном фонаре нажмите и удерживайте кнопку </w:t>
      </w:r>
      <w:r>
        <w:rPr>
          <w:rFonts w:cs="Times New Roman" w:ascii="Times New Roman" w:hAnsi="Times New Roman"/>
        </w:rPr>
        <w:t>B</w:t>
      </w:r>
      <w:r>
        <w:rPr>
          <w:rFonts w:cs="Times New Roman" w:ascii="Times New Roman" w:hAnsi="Times New Roman"/>
          <w:lang w:val="ru-RU"/>
        </w:rPr>
        <w:t>, чтобы перейти в режим ТУРБО. Отпустите ее, чтобы вернуться к предыдущему режиму.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Переход в специальные режимы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При включенном фонаре зажмите наполовину кнопку 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  <w:lang w:val="ru-RU"/>
        </w:rPr>
        <w:t xml:space="preserve"> удерживайте ее, чтобы перейти в режим </w:t>
      </w:r>
      <w:r>
        <w:rPr>
          <w:rFonts w:cs="Times New Roman" w:ascii="Times New Roman" w:hAnsi="Times New Roman"/>
        </w:rPr>
        <w:t>STROBE</w:t>
      </w:r>
      <w:r>
        <w:rPr>
          <w:rFonts w:cs="Times New Roman" w:ascii="Times New Roman" w:hAnsi="Times New Roman"/>
          <w:lang w:val="ru-RU"/>
        </w:rPr>
        <w:t xml:space="preserve">. Затем наполовину нажимайте на кнопку 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  <w:lang w:val="ru-RU"/>
        </w:rPr>
        <w:t xml:space="preserve">, чтобы переключаться между следующими специальными режимами: </w:t>
      </w:r>
      <w:r>
        <w:rPr>
          <w:rFonts w:cs="Times New Roman" w:ascii="Times New Roman" w:hAnsi="Times New Roman"/>
        </w:rPr>
        <w:t>STROBE</w:t>
      </w:r>
      <w:r>
        <w:rPr>
          <w:rFonts w:cs="Times New Roman" w:ascii="Times New Roman" w:hAnsi="Times New Roman"/>
          <w:lang w:val="ru-RU"/>
        </w:rPr>
        <w:t xml:space="preserve"> – МАЯК – </w:t>
      </w:r>
      <w:r>
        <w:rPr>
          <w:rFonts w:cs="Times New Roman" w:ascii="Times New Roman" w:hAnsi="Times New Roman"/>
        </w:rPr>
        <w:t>SOS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8"/>
        <w:tblW w:w="59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85"/>
      </w:tblGrid>
      <w:tr>
        <w:trPr>
          <w:trHeight w:val="445" w:hRule="atLeast"/>
        </w:trPr>
        <w:tc>
          <w:tcPr>
            <w:tcW w:w="59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ru-RU"/>
              </w:rPr>
            </w:pPr>
            <w:r>
              <w:rPr>
                <w:rFonts w:eastAsia="Segoe UI Emoji" w:cs="Segoe UI Emoji" w:ascii="Segoe UI Emoji" w:hAnsi="Segoe UI Emoji"/>
                <w:b/>
                <w:bCs/>
                <w:kern w:val="2"/>
                <w:sz w:val="24"/>
                <w:szCs w:val="28"/>
                <w:lang w:val="en-US" w:eastAsia="zh-CN" w:bidi="ar-SA"/>
              </w:rPr>
              <w:t>⚠</w:t>
            </w:r>
            <w:r>
              <w:rPr>
                <w:rFonts w:eastAsia="等线" w:cs="Times New Roman" w:ascii="Times New Roman" w:hAnsi="Times New Roman"/>
                <w:b/>
                <w:bCs/>
                <w:kern w:val="2"/>
                <w:sz w:val="24"/>
                <w:szCs w:val="28"/>
                <w:lang w:val="ru-RU" w:eastAsia="zh-CN" w:bidi="ar-SA"/>
              </w:rPr>
              <w:t>ВНИМАНИЕ</w:t>
            </w:r>
          </w:p>
        </w:tc>
      </w:tr>
      <w:tr>
        <w:trPr>
          <w:trHeight w:val="522" w:hRule="atLeast"/>
        </w:trPr>
        <w:tc>
          <w:tcPr>
            <w:tcW w:w="5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2"/>
                <w:sz w:val="21"/>
                <w:szCs w:val="22"/>
                <w:lang w:val="ru-RU" w:eastAsia="zh-CN" w:bidi="ar-SA"/>
              </w:rPr>
              <w:t>ДАННЫЙ</w:t>
            </w:r>
            <w:r>
              <w:rPr>
                <w:rFonts w:eastAsia="等线" w:cs="Times New Roman" w:ascii="Times New Roman" w:hAnsi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Times New Roman" w:hAnsi="Times New Roman"/>
                <w:b/>
                <w:bCs/>
                <w:kern w:val="2"/>
                <w:sz w:val="21"/>
                <w:szCs w:val="22"/>
                <w:lang w:val="ru-RU" w:eastAsia="zh-CN" w:bidi="ar-SA"/>
              </w:rPr>
              <w:t>ПРОДУКТ</w:t>
            </w:r>
            <w:r>
              <w:rPr>
                <w:rFonts w:eastAsia="等线" w:cs="Times New Roman" w:ascii="Times New Roman" w:hAnsi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Times New Roman" w:hAnsi="Times New Roman"/>
                <w:b/>
                <w:bCs/>
                <w:kern w:val="2"/>
                <w:sz w:val="21"/>
                <w:szCs w:val="22"/>
                <w:lang w:val="ru-RU" w:eastAsia="zh-CN" w:bidi="ar-SA"/>
              </w:rPr>
              <w:t>СОДЕРЖИТ</w:t>
            </w:r>
            <w:r>
              <w:rPr>
                <w:rFonts w:eastAsia="等线" w:cs="Times New Roman" w:ascii="Times New Roman" w:hAnsi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Times New Roman" w:hAnsi="Times New Roman"/>
                <w:b/>
                <w:bCs/>
                <w:kern w:val="2"/>
                <w:sz w:val="21"/>
                <w:szCs w:val="22"/>
                <w:lang w:val="ru-RU" w:eastAsia="zh-CN" w:bidi="ar-SA"/>
              </w:rPr>
              <w:t>КНОПОЧНУЮ</w:t>
            </w:r>
            <w:r>
              <w:rPr>
                <w:rFonts w:eastAsia="等线" w:cs="Times New Roman" w:ascii="Times New Roman" w:hAnsi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Times New Roman" w:hAnsi="Times New Roman"/>
                <w:b/>
                <w:bCs/>
                <w:kern w:val="2"/>
                <w:sz w:val="21"/>
                <w:szCs w:val="22"/>
                <w:lang w:val="ru-RU" w:eastAsia="zh-CN" w:bidi="ar-SA"/>
              </w:rPr>
              <w:t>БАТАРЕЙКУ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При проглатывании литиевая кнопочная батарейка может привести к тяжелым или смертельным травмам в течение 2 часов.</w:t>
            </w:r>
            <w:r>
              <w:rPr>
                <w:rFonts w:eastAsia="等线"/>
                <w:kern w:val="2"/>
                <w:sz w:val="21"/>
                <w:szCs w:val="22"/>
                <w:lang w:val="ru-RU" w:eastAsia="zh-CN" w:bidi="ar-SA"/>
              </w:rPr>
              <w:t xml:space="preserve">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Храните батарейки и аккумуляторы в недоступном для детей месте.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Если вы считаете, что батарейки или аккумуляторы могли быть проглочены или оказались внутри какой-либо части тела, незамедлительно обратитесь за медицинской помощью.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Сообщение уровня заряда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Когда фонарь выключен, нажмите на задний переключатель, удерживая кнопку режима, и затем быстро отпустите обе кнопки, чтобы получить доступ к уровню заряда. Индикатор питания под кнопкой режима начнет мигать, сообщая таким образом оставшийся уровень заряда аккумулятора. Как только мигание прекратится, фонарик включится.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Трехкратное мигание указывает на то, что мощность не менее 50%.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Двукратное мигание указывает на то, что мощность ниже 50%.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Однократное мигание указывает на то, что мощность ниже 25%.</w:t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Вибрация при низком уровне заряда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Если фонарик работает, а уровень его заряда ниже 10%, </w:t>
      </w:r>
      <w:r>
        <w:rPr>
          <w:rFonts w:cs="Times New Roman" w:ascii="Times New Roman" w:hAnsi="Times New Roman"/>
        </w:rPr>
        <w:t>MH</w:t>
      </w:r>
      <w:r>
        <w:rPr>
          <w:rFonts w:cs="Times New Roman" w:ascii="Times New Roman" w:hAnsi="Times New Roman"/>
          <w:lang w:val="ru-RU"/>
        </w:rPr>
        <w:t>40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  <w:lang w:val="ru-RU"/>
        </w:rPr>
        <w:t xml:space="preserve"> начнет вибрировать каждые 10 секунд, сообщая таким образом пользователю о низком уровне заряда.</w:t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</w:rPr>
        <w:t>ATR</w:t>
      </w:r>
      <w:r>
        <w:rPr>
          <w:rFonts w:cs="Times New Roman" w:ascii="Times New Roman" w:hAnsi="Times New Roman"/>
          <w:b/>
          <w:lang w:val="ru-RU"/>
        </w:rPr>
        <w:t xml:space="preserve"> (Усовершенствованное регулирование температуры)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Встроенная технология </w:t>
      </w:r>
      <w:r>
        <w:rPr>
          <w:rFonts w:cs="Times New Roman" w:ascii="Times New Roman" w:hAnsi="Times New Roman"/>
        </w:rPr>
        <w:t>ATR</w:t>
      </w:r>
      <w:r>
        <w:rPr>
          <w:rFonts w:cs="Times New Roman" w:ascii="Times New Roman" w:hAnsi="Times New Roman"/>
          <w:lang w:val="ru-RU"/>
        </w:rPr>
        <w:t xml:space="preserve"> регулирует мощность </w:t>
      </w:r>
      <w:r>
        <w:rPr>
          <w:rFonts w:cs="Times New Roman" w:ascii="Times New Roman" w:hAnsi="Times New Roman"/>
        </w:rPr>
        <w:t>MH</w:t>
      </w:r>
      <w:r>
        <w:rPr>
          <w:rFonts w:cs="Times New Roman" w:ascii="Times New Roman" w:hAnsi="Times New Roman"/>
          <w:lang w:val="ru-RU"/>
        </w:rPr>
        <w:t>40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  <w:lang w:val="ru-RU"/>
        </w:rPr>
        <w:t xml:space="preserve"> в соответствии с рабочими условиями и условиями окружающей среды для поддержания оптимальной производительности.</w:t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Замена аккумуляторов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Аккумуляторы следует заменить, если свет фонаря вам кажется тусклым или фонарик перестает реагировать на команды вследствие низкого уровня заряда.</w:t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Техническое обслуживание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Каждые 6 месяцев резьбу следует протирать чистой тканью с последующим нанесением тонкого слоя смазки на силиконовой основе.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Гарантийное обслуживание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Вся продукция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 обладает гарантией. Любой дефектный / неисправный продукт можно обменять на новый у местного дистрибьютора / дилера в течение 15 дней с момента покупки. После этого всю дефектную / неисправную продукцию NITECORE® можно отремонтировать бесплатно в течение 60 месяцев с даты покупки. По истечении 60 месяцев действует ограниченная гарантия, покрывающая стоимость работы и техобслуживания, но не покрывающая стоимость комплектующих и запчастей. 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Гарантия аннулируется, если продукция: 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сломана, реконструирована и / или модифицирована неуполномоченными лицами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повреждена из-за неправильного использования (например, установки аккумуляторов неправильными полярностями)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3. сломана в результате протечки аккумулятора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Для получения последней информации о продукции и услугах NITECORE® свяжитесь с местным дистрибьютором NITECORE® или отправьте электронное письмо по адресу service@nitecore.com</w:t>
      </w:r>
    </w:p>
    <w:p>
      <w:pPr>
        <w:pStyle w:val="Normal"/>
        <w:jc w:val="lef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※ </w:t>
      </w:r>
      <w:r>
        <w:rPr>
          <w:rFonts w:cs="Times New Roman" w:ascii="Times New Roman" w:hAnsi="Times New Roman"/>
          <w:lang w:val="ru-RU"/>
        </w:rPr>
        <w:t>Все изображения, а также текст и утверждения, указанные в данном руководстве пользователя, предназначены только для справочных целей. В случае возникновения каких-либо несоответствий между данным руководством и информацией, указанной на сайте www.nitecore.com, компания Sysmax Innovations Co., Ltd. оставляет за собой право интерпретировать и изменять содержание этого документа в любое время без предварительного уведомления.</w:t>
      </w:r>
    </w:p>
    <w:p>
      <w:pPr>
        <w:pStyle w:val="Normal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 Emoj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11f7"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b111f7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b111f7"/>
    <w:rPr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a2c16"/>
    <w:rPr>
      <w:sz w:val="21"/>
      <w:szCs w:val="21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semiHidden/>
    <w:qFormat/>
    <w:rsid w:val="009a2c16"/>
    <w:rPr/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sid w:val="009a2c16"/>
    <w:rPr>
      <w:b/>
      <w:bCs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9f43ef"/>
    <w:rPr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b111f7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6">
    <w:name w:val="Footer"/>
    <w:basedOn w:val="Normal"/>
    <w:link w:val="Style15"/>
    <w:uiPriority w:val="99"/>
    <w:unhideWhenUsed/>
    <w:rsid w:val="00b111f7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111f7"/>
    <w:pPr>
      <w:ind w:firstLine="420"/>
    </w:pPr>
    <w:rPr/>
  </w:style>
  <w:style w:type="paragraph" w:styleId="Annotationtext">
    <w:name w:val="annotation text"/>
    <w:basedOn w:val="Normal"/>
    <w:link w:val="Style16"/>
    <w:uiPriority w:val="99"/>
    <w:semiHidden/>
    <w:unhideWhenUsed/>
    <w:qFormat/>
    <w:rsid w:val="009a2c16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9a2c16"/>
    <w:pPr/>
    <w:rPr>
      <w:b/>
      <w:bCs/>
    </w:rPr>
  </w:style>
  <w:style w:type="paragraph" w:styleId="Revision">
    <w:name w:val="Revision"/>
    <w:uiPriority w:val="99"/>
    <w:semiHidden/>
    <w:qFormat/>
    <w:rsid w:val="00fa5cc0"/>
    <w:pPr>
      <w:widowControl/>
      <w:bidi w:val="0"/>
      <w:spacing w:before="0" w:after="0"/>
      <w:jc w:val="left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9f43ef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rsid w:val="00be2f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8">
    <w:name w:val="Table Grid"/>
    <w:basedOn w:val="a1"/>
    <w:uiPriority w:val="59"/>
    <w:rsid w:val="00be2f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53C2-B00B-4C59-8897-C62ACB12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LibreOffice/7.3.2.2$Windows_X86_64 LibreOffice_project/49f2b1bff42cfccbd8f788c8dc32c1c309559be0</Application>
  <AppVersion>15.0000</AppVersion>
  <Pages>7</Pages>
  <Words>1679</Words>
  <Characters>11099</Characters>
  <CharactersWithSpaces>12629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2022-06-29T21:25:00Z</dcterms:created>
  <dc:creator>尤 加宜</dc:creator>
  <dc:description/>
  <dc:language>ru-RU</dc:language>
  <cp:lastModifiedBy>НР</cp:lastModifiedBy>
  <dcterms:modified xsi:type="dcterms:W3CDTF">2022-07-02T11:17:00Z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