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9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bookmarkStart w:id="0" w:name="OLE_LINK1"/>
      <w:r>
        <w:rPr>
          <w:rFonts w:cs="Times New Roman" w:ascii="Times New Roman" w:hAnsi="Times New Roman"/>
          <w:b/>
          <w:lang w:val="ru-RU"/>
        </w:rPr>
        <w:t xml:space="preserve">Руководство пользователя </w:t>
      </w:r>
      <w:r>
        <w:rPr>
          <w:rFonts w:cs="Times New Roman" w:ascii="Times New Roman" w:hAnsi="Times New Roman"/>
          <w:b/>
        </w:rPr>
        <w:t>NU</w:t>
      </w:r>
      <w:r>
        <w:rPr>
          <w:rFonts w:cs="Times New Roman" w:ascii="Times New Roman" w:hAnsi="Times New Roman"/>
          <w:b/>
          <w:lang w:val="ru-RU"/>
        </w:rPr>
        <w:t xml:space="preserve">25 / </w:t>
      </w:r>
      <w:r>
        <w:rPr>
          <w:rFonts w:cs="Times New Roman" w:ascii="Times New Roman" w:hAnsi="Times New Roman"/>
          <w:b/>
        </w:rPr>
        <w:t>NU</w:t>
      </w:r>
      <w:r>
        <w:rPr>
          <w:rFonts w:cs="Times New Roman" w:ascii="Times New Roman" w:hAnsi="Times New Roman"/>
          <w:b/>
          <w:lang w:val="ru-RU"/>
        </w:rPr>
        <w:t xml:space="preserve">25 </w:t>
      </w:r>
      <w:r>
        <w:rPr>
          <w:rFonts w:cs="Times New Roman" w:ascii="Times New Roman" w:hAnsi="Times New Roman"/>
          <w:b/>
        </w:rPr>
        <w:t>UL</w:t>
      </w:r>
      <w:bookmarkEnd w:id="0"/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Краткая инструкция</w:t>
      </w: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637020" cy="1485900"/>
            <wp:effectExtent l="0" t="0" r="0" b="0"/>
            <wp:docPr id="1" name="Рисунок 7" descr="C:\Users\Н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C:\Users\НР\Desktop\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Об устройстве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Перезаряжаемый посредством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</w:t>
      </w:r>
      <w:r>
        <w:rPr>
          <w:rFonts w:cs="Times New Roman" w:ascii="Times New Roman" w:hAnsi="Times New Roman"/>
          <w:lang w:val="ru-RU"/>
        </w:rPr>
        <w:t xml:space="preserve"> налобный фонарь с двумя лучами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Специально разработан для применения во время активного отдыха вне дома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Можно активировать луч как узкого, так и широкого спектра (цветовая температура: 5500</w:t>
      </w:r>
      <w:r>
        <w:rPr>
          <w:rFonts w:cs="Times New Roman" w:ascii="Times New Roman" w:hAnsi="Times New Roman"/>
        </w:rPr>
        <w:t>K</w:t>
      </w:r>
      <w:r>
        <w:rPr>
          <w:rFonts w:cs="Times New Roman" w:ascii="Times New Roman" w:hAnsi="Times New Roman"/>
          <w:lang w:val="ru-RU"/>
        </w:rPr>
        <w:t>), также имеется красное освещение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Максимальная выходная мощность до 400 люмен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Задействует цельную систему оптических линз с различными гранями для отражения однородного и мягкого света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Максимальная интенсивность луча составляет до 1029 кд и максимальная дальность - до 64 метров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Встроенный литий-ионный аккумулятор емкостью 650 мАч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Высокоэффективная плата постоянного тока обеспечивает стабильную работу устройства на период до 90 часов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Разработан с двумя кнопками, отличающимися по форме и нажатию, что обеспечивает простое управление одной рукой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Доступны 4 уровня яркости, 3 источника света и 3 специальных режима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Встроена интеллектуальная схема зарядки литий-ионного аккумулятора с зарядным портом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Разработан с 4 индикаторами питания для определения оставшегося уровня заряда аккумулятора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Изготовлен из прочных поликарбонатных материалов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Водонепроницаемость и пыленепроницаемость в соответствии со стандартом </w:t>
      </w:r>
      <w:r>
        <w:rPr>
          <w:rFonts w:cs="Times New Roman" w:ascii="Times New Roman" w:hAnsi="Times New Roman"/>
        </w:rPr>
        <w:t>IP</w:t>
      </w:r>
      <w:r>
        <w:rPr>
          <w:rFonts w:cs="Times New Roman" w:ascii="Times New Roman" w:hAnsi="Times New Roman"/>
          <w:lang w:val="ru-RU"/>
        </w:rPr>
        <w:t>66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Ударопрочность при падении с высоты до 1 метра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Характеристики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</w:rPr>
        <w:t>NU</w:t>
      </w: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25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Размеры: 60.1 мм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36.8 мм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25 мм (2.37"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1.45"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0.98") (с учетом кронштейна)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Вес: 56 г (1.98 унции) (с учетом кронштейна и крепления на голову)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</w:rPr>
        <w:t>NU</w:t>
      </w:r>
      <w:r>
        <w:rPr>
          <w:rFonts w:cs="Times New Roman" w:ascii="Times New Roman" w:hAnsi="Times New Roman"/>
          <w:b/>
          <w:bCs/>
          <w:lang w:val="ru-RU"/>
        </w:rPr>
        <w:t xml:space="preserve">25 </w:t>
      </w:r>
      <w:r>
        <w:rPr>
          <w:rFonts w:cs="Times New Roman" w:ascii="Times New Roman" w:hAnsi="Times New Roman"/>
          <w:b/>
          <w:bCs/>
        </w:rPr>
        <w:t>UL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Размеры: 60.1 мм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33 мм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25.5 мм (2.37"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1.3"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1") (с учетом кронштейна)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Вес: 45 г (1.59 унции) (с учетом кронштейна и крепления на голову)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Комплектующие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Зарядный кабель </w:t>
      </w:r>
      <w:r>
        <w:rPr>
          <w:rFonts w:eastAsia="等线" w:cs="Times New Roman" w:ascii="Times New Roman" w:hAnsi="Times New Roman" w:eastAsiaTheme="minorHAnsi"/>
          <w:bCs/>
          <w:szCs w:val="21"/>
        </w:rPr>
        <w:t>USB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-</w:t>
      </w:r>
      <w:r>
        <w:rPr>
          <w:rFonts w:eastAsia="等线" w:cs="Times New Roman" w:ascii="Times New Roman" w:hAnsi="Times New Roman" w:eastAsiaTheme="minorHAnsi"/>
          <w:bCs/>
          <w:szCs w:val="21"/>
        </w:rPr>
        <w:t>C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, крепление на голову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Cs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Технические характеристики</w:t>
      </w:r>
    </w:p>
    <w:tbl>
      <w:tblPr>
        <w:tblStyle w:val="a8"/>
        <w:tblpPr w:bottomFromText="0" w:horzAnchor="margin" w:leftFromText="180" w:rightFromText="180" w:tblpX="0" w:tblpY="57" w:topFromText="0" w:vertAnchor="text"/>
        <w:tblW w:w="10731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45"/>
        <w:gridCol w:w="850"/>
        <w:gridCol w:w="851"/>
        <w:gridCol w:w="709"/>
        <w:gridCol w:w="850"/>
        <w:gridCol w:w="709"/>
        <w:gridCol w:w="850"/>
        <w:gridCol w:w="710"/>
        <w:gridCol w:w="1134"/>
        <w:gridCol w:w="1133"/>
        <w:gridCol w:w="851"/>
        <w:gridCol w:w="553"/>
        <w:gridCol w:w="685"/>
      </w:tblGrid>
      <w:tr>
        <w:trPr>
          <w:trHeight w:val="3" w:hRule="atLeast"/>
        </w:trPr>
        <w:tc>
          <w:tcPr>
            <w:tcW w:w="8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FL1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СТАНДАРТ</w:t>
            </w:r>
          </w:p>
        </w:tc>
        <w:tc>
          <w:tcPr>
            <w:tcW w:w="24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Смешанный тип луча</w:t>
            </w:r>
          </w:p>
        </w:tc>
        <w:tc>
          <w:tcPr>
            <w:tcW w:w="15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Луч узкого спектра</w:t>
            </w:r>
          </w:p>
        </w:tc>
        <w:tc>
          <w:tcPr>
            <w:tcW w:w="269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Луч широкого спектра</w:t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Красный свет</w:t>
            </w:r>
          </w:p>
        </w:tc>
        <w:tc>
          <w:tcPr>
            <w:tcW w:w="55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SOS</w:t>
            </w:r>
          </w:p>
        </w:tc>
        <w:tc>
          <w:tcPr>
            <w:tcW w:w="68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МАЯК</w:t>
            </w:r>
          </w:p>
        </w:tc>
      </w:tr>
      <w:tr>
        <w:trPr>
          <w:trHeight w:val="7" w:hRule="atLeast"/>
        </w:trPr>
        <w:tc>
          <w:tcPr>
            <w:tcW w:w="84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eastAsiaTheme="minorHAnsi" w:ascii="Times New Roman" w:hAnsi="Times New Roman"/>
                <w:kern w:val="2"/>
                <w:sz w:val="21"/>
                <w:szCs w:val="22"/>
                <w:lang w:val="en-US" w:eastAsia="zh-CN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ВЫСОКИЙ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СРЕДНИЙ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НИЗКИЙ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СРЕДНИЙ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НИЗКИЙ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СРЕДНИЙ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НИЗКИЙ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СВЕРХНИЗКИЙ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ПОСТОЯННОЕ ГОРЕНИЕ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МЕДЛЕННОЕ МИГАНИЕ</w:t>
            </w:r>
          </w:p>
        </w:tc>
        <w:tc>
          <w:tcPr>
            <w:tcW w:w="55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eastAsiaTheme="minorHAnsi" w:ascii="Times New Roman" w:hAnsi="Times New Roman"/>
                <w:kern w:val="2"/>
                <w:sz w:val="21"/>
                <w:szCs w:val="22"/>
                <w:lang w:val="en-US" w:eastAsia="zh-CN" w:bidi="ar-SA"/>
              </w:rPr>
            </w:r>
          </w:p>
        </w:tc>
        <w:tc>
          <w:tcPr>
            <w:tcW w:w="68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eastAsiaTheme="minorHAnsi" w:ascii="Times New Roman" w:hAnsi="Times New Roman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177165" cy="118745"/>
                  <wp:effectExtent l="0" t="0" r="0" b="0"/>
                  <wp:docPr id="2" name="图片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400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200 </w:t>
            </w:r>
            <w:r>
              <w:rPr>
                <w:rFonts w:cs="Times New Roman" w:ascii="Times New Roman" w:hAnsi="Times New Roman"/>
                <w:kern w:val="2"/>
                <w:sz w:val="14"/>
                <w:szCs w:val="14"/>
                <w:lang w:val="en-US" w:eastAsia="zh-CN" w:bidi="ar-SA"/>
              </w:rPr>
              <w:t>люмен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60 </w:t>
            </w:r>
            <w:r>
              <w:rPr>
                <w:rFonts w:cs="Times New Roman" w:ascii="Times New Roman" w:hAnsi="Times New Roman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200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60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200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60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6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10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10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5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400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400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люмен</w:t>
            </w:r>
          </w:p>
        </w:tc>
      </w:tr>
      <w:tr>
        <w:trPr>
          <w:trHeight w:val="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138430" cy="147320"/>
                  <wp:effectExtent l="0" t="0" r="0" b="0"/>
                  <wp:docPr id="3" name="图片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2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40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мин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40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мин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25 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мин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15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мин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30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мин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15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мин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90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16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ч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  <w:tc>
          <w:tcPr>
            <w:tcW w:w="5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</w:tr>
      <w:tr>
        <w:trPr>
          <w:trHeight w:val="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62560"/>
                  <wp:effectExtent l="0" t="0" r="0" b="0"/>
                  <wp:docPr id="4" name="图片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64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45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24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58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31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23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12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8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  <w:tc>
          <w:tcPr>
            <w:tcW w:w="5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</w:tr>
      <w:tr>
        <w:trPr>
          <w:trHeight w:val="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138430" cy="138430"/>
                  <wp:effectExtent l="0" t="0" r="0" b="0"/>
                  <wp:docPr id="5" name="图片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1,029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525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150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862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253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138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39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4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15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кд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  <w:tc>
          <w:tcPr>
            <w:tcW w:w="5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─</w:t>
            </w:r>
          </w:p>
        </w:tc>
      </w:tr>
      <w:tr>
        <w:trPr>
          <w:trHeight w:val="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bookmarkStart w:id="1" w:name="_Hlk111551534"/>
            <w:r>
              <w:rPr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138430" cy="116840"/>
                  <wp:effectExtent l="0" t="0" r="0" b="0"/>
                  <wp:docPr id="6" name="图片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5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1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 xml:space="preserve"> м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 xml:space="preserve"> (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ru-RU" w:eastAsia="zh-CN" w:bidi="ar-SA"/>
              </w:rPr>
              <w:t>ударопрочность</w:t>
            </w:r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)</w:t>
            </w:r>
          </w:p>
        </w:tc>
      </w:tr>
      <w:tr>
        <w:trPr>
          <w:trHeight w:val="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r>
              <w:rPr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177165" cy="109220"/>
                  <wp:effectExtent l="0" t="0" r="0" b="0"/>
                  <wp:docPr id="7" name="图片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5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sz w:val="14"/>
                <w:szCs w:val="14"/>
              </w:rPr>
            </w:pPr>
            <w:bookmarkStart w:id="2" w:name="_Hlk111551534"/>
            <w:r>
              <w:rPr>
                <w:rFonts w:eastAsia="等线" w:cs="Times New Roman" w:ascii="Times New Roman" w:hAnsi="Times New Roman" w:eastAsiaTheme="minorHAnsi"/>
                <w:kern w:val="2"/>
                <w:sz w:val="14"/>
                <w:szCs w:val="14"/>
                <w:lang w:val="en-US" w:eastAsia="zh-CN" w:bidi="ar-SA"/>
              </w:rPr>
              <w:t>IP66</w:t>
            </w:r>
            <w:bookmarkEnd w:id="2"/>
          </w:p>
        </w:tc>
      </w:tr>
    </w:tbl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 xml:space="preserve">Примечание. 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Указанные данные получены в лабораторных условиях в соответствии с международными стандартами тестирования фонарей </w:t>
      </w:r>
      <w:r>
        <w:rPr>
          <w:rFonts w:eastAsia="等线" w:cs="Times New Roman" w:ascii="Times New Roman" w:hAnsi="Times New Roman" w:eastAsiaTheme="minorHAnsi"/>
          <w:bCs/>
          <w:szCs w:val="21"/>
        </w:rPr>
        <w:t>ANSI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/</w:t>
      </w:r>
      <w:r>
        <w:rPr>
          <w:rFonts w:eastAsia="等线" w:cs="Times New Roman" w:ascii="Times New Roman" w:hAnsi="Times New Roman" w:eastAsiaTheme="minorHAnsi"/>
          <w:bCs/>
          <w:szCs w:val="21"/>
        </w:rPr>
        <w:t>NEMA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  <w:bCs/>
          <w:szCs w:val="21"/>
        </w:rPr>
        <w:t>FL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1 с использованием встроенного литий-ионного аккумулятора (3,7 В, 650 мАч). При эксплуатации данные могут не соответствовать приведенным вследствие использования устройства с другим аккумулятором, а также условий окружающей среды.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bCs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>Зарядка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</w:rPr>
        <w:t>NU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25 / </w:t>
      </w:r>
      <w:r>
        <w:rPr>
          <w:rFonts w:eastAsia="等线" w:cs="Times New Roman" w:ascii="Times New Roman" w:hAnsi="Times New Roman" w:eastAsiaTheme="minorHAnsi"/>
          <w:bCs/>
          <w:szCs w:val="21"/>
        </w:rPr>
        <w:t>NU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25 </w:t>
      </w:r>
      <w:r>
        <w:rPr>
          <w:rFonts w:eastAsia="等线" w:cs="Times New Roman" w:ascii="Times New Roman" w:hAnsi="Times New Roman" w:eastAsiaTheme="minorHAnsi"/>
          <w:bCs/>
          <w:szCs w:val="21"/>
        </w:rPr>
        <w:t>UL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 оснащен интеллектуальной системой зарядки. Пожалуйста, не забудьте зарядить аккумулятор перед первым использованием.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 xml:space="preserve">Подключение к источнику питания: 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откройте порт зарядки,</w:t>
      </w:r>
      <w:r>
        <w:rPr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как показано на иллюстрации, чтобы подсоединить </w:t>
      </w:r>
      <w:r>
        <w:rPr>
          <w:rFonts w:eastAsia="等线" w:cs="Times New Roman" w:ascii="Times New Roman" w:hAnsi="Times New Roman" w:eastAsiaTheme="minorHAnsi"/>
          <w:bCs/>
          <w:szCs w:val="21"/>
        </w:rPr>
        <w:t>USB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-кабель и посредством него подключить устройство к внешнему источнику питания. После этого начнется зарядка.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 xml:space="preserve">Определение уровня заряда: 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во время зарядки 4 верхних индикатора питания начнут мигать, сообщая пользователю уровень заряда. Когда аккумулятор полностью зарядится, 4 индикатора питания начнут беспрерывно гореть. Время зарядки составляет около 1 ч 25 мин. При полном заряде время работы в режиме ожидания составляет приблизительно 12 месяцев.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bCs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4122420</wp:posOffset>
            </wp:positionH>
            <wp:positionV relativeFrom="paragraph">
              <wp:posOffset>11430</wp:posOffset>
            </wp:positionV>
            <wp:extent cx="2667000" cy="1358900"/>
            <wp:effectExtent l="0" t="0" r="0" b="0"/>
            <wp:wrapSquare wrapText="bothSides"/>
            <wp:docPr id="8" name="Рисунок 8" descr="C:\Users\НР\Desktop\2\AbId78I-xiUMqpp59GV1n_XjECS5pOJLFIRS4rx0DRez0bv3Lqnm81jAowJ2Oq_9XyQexwNPUnQxU48OPkqFRp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НР\Desktop\2\AbId78I-xiUMqpp59GV1n_XjECS5pOJLFIRS4rx0DRez0bv3Lqnm81jAowJ2Oq_9XyQexwNPUnQxU48OPkqFRpa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>Кнопка питания / кнопка режима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Кнопка питания (</w:t>
      </w:r>
      <w:r>
        <w:rPr>
          <w:rFonts w:eastAsia="等线" w:cs="Times New Roman" w:ascii="Times New Roman" w:hAnsi="Times New Roman" w:eastAsiaTheme="minorHAnsi"/>
          <w:bCs/>
          <w:szCs w:val="21"/>
        </w:rPr>
        <w:t>POWER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 используется для включения / выключения фонаря и регулирования уровня яркости.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Кнопка режима (</w:t>
      </w:r>
      <w:r>
        <w:rPr>
          <w:rFonts w:eastAsia="等线" w:cs="Times New Roman" w:ascii="Times New Roman" w:hAnsi="Times New Roman" w:eastAsiaTheme="minorHAnsi"/>
          <w:bCs/>
          <w:szCs w:val="21"/>
        </w:rPr>
        <w:t>MODE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 предназначена для переключения между источниками света.</w:t>
      </w:r>
      <w:r>
        <w:rPr>
          <w:b/>
          <w:bCs/>
          <w:lang w:val="ru-RU" w:eastAsia="ru-RU"/>
        </w:rPr>
        <w:t xml:space="preserve"> 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bCs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>Включение / выключение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фонарь выключен, зажмите и удерживайте кнопку питания в течение 1 секунды, чтобы перейти к низкому уровню яркости (</w:t>
      </w:r>
      <w:r>
        <w:rPr>
          <w:rFonts w:eastAsia="等线" w:cs="Times New Roman" w:ascii="Times New Roman" w:hAnsi="Times New Roman" w:eastAsiaTheme="minorHAnsi"/>
          <w:bCs/>
          <w:szCs w:val="21"/>
        </w:rPr>
        <w:t>LOW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 в режиме смешанного типа освещения (</w:t>
      </w:r>
      <w:r>
        <w:rPr>
          <w:rFonts w:eastAsia="等线" w:cs="Times New Roman" w:ascii="Times New Roman" w:hAnsi="Times New Roman" w:eastAsiaTheme="minorHAnsi"/>
          <w:bCs/>
          <w:szCs w:val="21"/>
        </w:rPr>
        <w:t>Mix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фонарь включен, зажмите и удерживайте кнопку питания или кнопку режима в течение 1 секунды, чтобы выключить его.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szCs w:val="21"/>
          <w:lang w:val="ru-RU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4244340</wp:posOffset>
            </wp:positionH>
            <wp:positionV relativeFrom="paragraph">
              <wp:posOffset>56515</wp:posOffset>
            </wp:positionV>
            <wp:extent cx="2795905" cy="1454785"/>
            <wp:effectExtent l="0" t="0" r="0" b="0"/>
            <wp:wrapSquare wrapText="bothSides"/>
            <wp:docPr id="9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>Белое освещение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Когда фонарь выключен, зажмите и удерживайте кнопку питания в течение 1 секунды, чтобы перейти к низкому уровню яркости (LOW) в режиме смешанного типа освещения (Mix).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Когда фонарь выключен, дважды нажмите на кнопку питания, чтобы перейти к сверхнизкому уровню яркости (</w:t>
      </w:r>
      <w:r>
        <w:rPr>
          <w:rFonts w:cs="Times New Roman" w:ascii="Times New Roman" w:hAnsi="Times New Roman"/>
        </w:rPr>
        <w:t>ULTRALOW</w:t>
      </w:r>
      <w:r>
        <w:rPr>
          <w:rFonts w:cs="Times New Roman" w:ascii="Times New Roman" w:hAnsi="Times New Roman"/>
          <w:lang w:val="ru-RU"/>
        </w:rPr>
        <w:t>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cs="Times New Roman" w:ascii="Times New Roman" w:hAnsi="Times New Roman"/>
          <w:lang w:val="ru-RU"/>
        </w:rPr>
        <w:t>Когда устройство находится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в режиме смешанного типа освещения (</w:t>
      </w:r>
      <w:r>
        <w:rPr>
          <w:rFonts w:cs="Times New Roman" w:ascii="Times New Roman" w:hAnsi="Times New Roman"/>
        </w:rPr>
        <w:t>Mix</w:t>
      </w:r>
      <w:r>
        <w:rPr>
          <w:rFonts w:cs="Times New Roman" w:ascii="Times New Roman" w:hAnsi="Times New Roman"/>
          <w:lang w:val="ru-RU"/>
        </w:rPr>
        <w:t>)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, нажимайте на кнопку питания, чтобы переключаться между следующими уровнями яркости: низкий (</w:t>
      </w:r>
      <w:r>
        <w:rPr>
          <w:rFonts w:eastAsia="等线" w:cs="Times New Roman" w:ascii="Times New Roman" w:hAnsi="Times New Roman" w:eastAsiaTheme="minorHAnsi"/>
          <w:szCs w:val="21"/>
        </w:rPr>
        <w:t>LOW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)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 – средний (</w:t>
      </w:r>
      <w:r>
        <w:rPr>
          <w:rFonts w:eastAsia="等线" w:cs="Times New Roman" w:ascii="Times New Roman" w:hAnsi="Times New Roman" w:eastAsiaTheme="minorHAnsi"/>
          <w:bCs/>
          <w:szCs w:val="21"/>
        </w:rPr>
        <w:t>MID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 – высокий (</w:t>
      </w:r>
      <w:r>
        <w:rPr>
          <w:rFonts w:eastAsia="等线" w:cs="Times New Roman" w:ascii="Times New Roman" w:hAnsi="Times New Roman" w:eastAsiaTheme="minorHAnsi"/>
          <w:bCs/>
          <w:szCs w:val="21"/>
        </w:rPr>
        <w:t>HIGH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Когда включен луч узкого спектра или луч широкого спектра, нажимайте на кнопку питания, чтобы переключаться между низким (</w:t>
      </w:r>
      <w:r>
        <w:rPr>
          <w:rFonts w:eastAsia="等线" w:cs="Times New Roman" w:ascii="Times New Roman" w:hAnsi="Times New Roman" w:eastAsiaTheme="minorHAnsi"/>
          <w:szCs w:val="21"/>
        </w:rPr>
        <w:t>LOW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) и средним (</w:t>
      </w:r>
      <w:r>
        <w:rPr>
          <w:rFonts w:eastAsia="等线" w:cs="Times New Roman" w:ascii="Times New Roman" w:hAnsi="Times New Roman" w:eastAsiaTheme="minorHAnsi"/>
          <w:szCs w:val="21"/>
        </w:rPr>
        <w:t>MID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) уровнями яркости.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>Красное освещение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Когда фонарь включен, зажмите и удерживайте кнопку режима в течение 1 секунды, чтобы перейти в режим красного освещения.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Когда работает красное освещение, нажимайте на кнопку питания, чтобы переключаться между беспрерывным горением и медленным миганием.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>Переключение между источниками света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фонарь включен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, нажимайте на кнопку режима, чтобы переключаться между следующими источниками света: </w:t>
      </w:r>
      <w:bookmarkStart w:id="3" w:name="_Hlk113022471"/>
      <w:r>
        <w:rPr>
          <w:rFonts w:eastAsia="等线" w:cs="Times New Roman" w:ascii="Times New Roman" w:hAnsi="Times New Roman" w:eastAsiaTheme="minorHAnsi"/>
          <w:szCs w:val="21"/>
          <w:lang w:val="ru-RU"/>
        </w:rPr>
        <w:t>смешанный тип (</w:t>
      </w:r>
      <w:r>
        <w:rPr>
          <w:rFonts w:eastAsia="等线" w:cs="Times New Roman" w:ascii="Times New Roman" w:hAnsi="Times New Roman" w:eastAsiaTheme="minorHAnsi"/>
          <w:bCs/>
          <w:szCs w:val="21"/>
        </w:rPr>
        <w:t>Mix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) – </w:t>
      </w:r>
      <w:bookmarkEnd w:id="3"/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луч узкого спектра (</w:t>
      </w:r>
      <w:r>
        <w:rPr>
          <w:rFonts w:eastAsia="等线" w:cs="Times New Roman" w:ascii="Times New Roman" w:hAnsi="Times New Roman" w:eastAsiaTheme="minorHAnsi"/>
          <w:bCs/>
          <w:szCs w:val="21"/>
        </w:rPr>
        <w:t>Spotlight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 – луч широкого спектра (</w:t>
      </w:r>
      <w:r>
        <w:rPr>
          <w:rFonts w:eastAsia="等线" w:cs="Times New Roman" w:ascii="Times New Roman" w:hAnsi="Times New Roman" w:eastAsiaTheme="minorHAnsi"/>
          <w:bCs/>
          <w:szCs w:val="21"/>
        </w:rPr>
        <w:t>Floodlight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 – красное освещение (</w:t>
      </w:r>
      <w:r>
        <w:rPr>
          <w:rFonts w:eastAsia="等线" w:cs="Times New Roman" w:ascii="Times New Roman" w:hAnsi="Times New Roman" w:eastAsiaTheme="minorHAnsi"/>
          <w:bCs/>
          <w:szCs w:val="21"/>
        </w:rPr>
        <w:t>Red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  <w:bCs/>
          <w:szCs w:val="21"/>
        </w:rPr>
        <w:t>Light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).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 xml:space="preserve">Специальные режимы </w:t>
      </w:r>
      <w:r>
        <w:rPr>
          <w:rFonts w:eastAsia="等线" w:cs="Times New Roman" w:ascii="Times New Roman" w:hAnsi="Times New Roman" w:eastAsiaTheme="minorHAnsi"/>
          <w:b/>
          <w:szCs w:val="21"/>
        </w:rPr>
        <w:t xml:space="preserve">(SOS / </w:t>
      </w: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МАЯК</w:t>
      </w:r>
      <w:r>
        <w:rPr>
          <w:rFonts w:eastAsia="等线" w:cs="Times New Roman" w:ascii="Times New Roman" w:hAnsi="Times New Roman" w:eastAsiaTheme="minorHAnsi"/>
          <w:b/>
          <w:szCs w:val="21"/>
        </w:rPr>
        <w:t>)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bookmarkStart w:id="4" w:name="OLE_LINK3"/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При нахождении фонаря в любом из режимов дважды нажмите на кнопку режима, чтобы перейти в режим </w:t>
      </w:r>
      <w:r>
        <w:rPr>
          <w:rFonts w:eastAsia="等线" w:cs="Times New Roman" w:ascii="Times New Roman" w:hAnsi="Times New Roman" w:eastAsiaTheme="minorHAnsi"/>
          <w:szCs w:val="21"/>
        </w:rPr>
        <w:t>SOS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.</w:t>
      </w:r>
      <w:bookmarkEnd w:id="4"/>
    </w:p>
    <w:p>
      <w:pPr>
        <w:pStyle w:val="ListParagraph"/>
        <w:numPr>
          <w:ilvl w:val="0"/>
          <w:numId w:val="8"/>
        </w:numPr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При нахождении фонаря в любом из специальных режимов нажимайте на кнопку питания, чтобы переключаться между режимами </w:t>
      </w:r>
      <w:r>
        <w:rPr>
          <w:rFonts w:eastAsia="等线" w:cs="Times New Roman" w:ascii="Times New Roman" w:hAnsi="Times New Roman" w:eastAsiaTheme="minorHAnsi"/>
          <w:szCs w:val="21"/>
        </w:rPr>
        <w:t>SOS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и МАЯК. Дважды нажмите на кнопку режима еще раз, чтобы вернуться к предыдущему режиму.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bCs/>
          <w:szCs w:val="21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Блокировка</w:t>
      </w:r>
      <w:r>
        <w:rPr>
          <w:rFonts w:cs="Times New Roman" w:ascii="Times New Roman" w:hAnsi="Times New Roman"/>
          <w:b/>
          <w:bCs/>
        </w:rPr>
        <w:t xml:space="preserve"> / </w:t>
      </w:r>
      <w:r>
        <w:rPr>
          <w:rFonts w:cs="Times New Roman" w:ascii="Times New Roman" w:hAnsi="Times New Roman"/>
          <w:b/>
          <w:bCs/>
          <w:lang w:val="ru-RU"/>
        </w:rPr>
        <w:t>Разблокировка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Когда фонарь выключен, зажмите и удерживайте обе кнопки в течение 2 секунд, пока фонарь не мигнет 3 раза, сообщая таким образом о переходе в режим блокировки. В режиме блокировки любые уровни яркости и режимы недоступны, и при нажатии на любую из кнопок фонарь будет однократно мигать, сообщая таким образом о нахождении в данном режиме.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При нахождении устройства в режиме блокировки снова зажмите и удерживайте обе кнопки в течение 2 секунд, затем устройство перейдет в режим сверхнизкого уровня яркости, сообщая таким образом о выходе из режима блокировки.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highlight w:val="yellow"/>
          <w:lang w:val="ru-RU"/>
        </w:rPr>
        <w:t>Примечание:</w:t>
      </w:r>
      <w:bookmarkStart w:id="5" w:name="OLE_LINK2"/>
      <w:r>
        <w:rPr>
          <w:rFonts w:cs="Times New Roman" w:ascii="Times New Roman" w:hAnsi="Times New Roman"/>
          <w:highlight w:val="yellow"/>
          <w:lang w:val="ru-RU"/>
        </w:rPr>
        <w:t xml:space="preserve"> </w:t>
      </w:r>
      <w:r>
        <w:rPr>
          <w:rFonts w:cs="Times New Roman" w:ascii="Times New Roman" w:hAnsi="Times New Roman"/>
          <w:highlight w:val="yellow"/>
        </w:rPr>
        <w:t>NU</w:t>
      </w:r>
      <w:r>
        <w:rPr>
          <w:rFonts w:cs="Times New Roman" w:ascii="Times New Roman" w:hAnsi="Times New Roman"/>
          <w:highlight w:val="yellow"/>
          <w:lang w:val="ru-RU"/>
        </w:rPr>
        <w:t>25</w:t>
      </w:r>
      <w:bookmarkEnd w:id="5"/>
      <w:r>
        <w:rPr>
          <w:rFonts w:cs="Times New Roman" w:ascii="Times New Roman" w:hAnsi="Times New Roman"/>
          <w:highlight w:val="yellow"/>
          <w:lang w:val="ru-RU"/>
        </w:rPr>
        <w:t xml:space="preserve"> / </w:t>
      </w:r>
      <w:r>
        <w:rPr>
          <w:rFonts w:cs="Times New Roman" w:ascii="Times New Roman" w:hAnsi="Times New Roman"/>
          <w:highlight w:val="yellow"/>
        </w:rPr>
        <w:t>NU</w:t>
      </w:r>
      <w:r>
        <w:rPr>
          <w:rFonts w:cs="Times New Roman" w:ascii="Times New Roman" w:hAnsi="Times New Roman"/>
          <w:highlight w:val="yellow"/>
          <w:lang w:val="ru-RU"/>
        </w:rPr>
        <w:t xml:space="preserve">25 </w:t>
      </w:r>
      <w:r>
        <w:rPr>
          <w:rFonts w:cs="Times New Roman" w:ascii="Times New Roman" w:hAnsi="Times New Roman"/>
          <w:highlight w:val="yellow"/>
        </w:rPr>
        <w:t>UL</w:t>
      </w:r>
      <w:r>
        <w:rPr>
          <w:rFonts w:cs="Times New Roman" w:ascii="Times New Roman" w:hAnsi="Times New Roman"/>
          <w:highlight w:val="yellow"/>
          <w:lang w:val="ru-RU"/>
        </w:rPr>
        <w:t xml:space="preserve"> автоматически раз</w:t>
      </w:r>
      <w:bookmarkStart w:id="6" w:name="_GoBack"/>
      <w:bookmarkEnd w:id="6"/>
      <w:r>
        <w:rPr>
          <w:rFonts w:cs="Times New Roman" w:ascii="Times New Roman" w:hAnsi="Times New Roman"/>
          <w:highlight w:val="yellow"/>
          <w:lang w:val="ru-RU"/>
        </w:rPr>
        <w:t>блокируется, если полностью зарядится, будучи в режиме блокировки.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Определение уровня заряда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Когда фонарь выключен, нажмите на кнопку режима, после чего загорятся соответствующие индикаторы питания рядом с кнопкой режима и погаснут через две секунды.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Примечание: </w:t>
      </w:r>
      <w:r>
        <w:rPr>
          <w:rFonts w:cs="Times New Roman" w:ascii="Times New Roman" w:hAnsi="Times New Roman"/>
          <w:lang w:val="ru-RU"/>
        </w:rPr>
        <w:t>Аккумулятор необходимо подзаряжать всегда, когда свет фонаря кажется тусклым или устройство перестает отвечать на команды вследствие низкого заряда.</w:t>
      </w:r>
    </w:p>
    <w:tbl>
      <w:tblPr>
        <w:tblStyle w:val="a8"/>
        <w:tblpPr w:vertAnchor="text" w:horzAnchor="page" w:leftFromText="180" w:rightFromText="180" w:tblpX="1055" w:tblpY="130"/>
        <w:tblW w:w="48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4"/>
        <w:gridCol w:w="2820"/>
      </w:tblGrid>
      <w:tr>
        <w:trPr>
          <w:trHeight w:val="364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ru-RU"/>
              </w:rPr>
            </w:pPr>
            <w:r>
              <w:rPr>
                <w:rFonts w:eastAsia="等线" w:cs="Times New Roman" w:ascii="Times New Roman" w:hAnsi="Times New Roman"/>
                <w:b/>
                <w:bCs/>
                <w:kern w:val="2"/>
                <w:sz w:val="21"/>
                <w:szCs w:val="22"/>
                <w:lang w:val="ru-RU" w:eastAsia="zh-CN" w:bidi="ar-SA"/>
              </w:rPr>
              <w:t>Состояние индикаторов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b/>
                <w:bCs/>
                <w:kern w:val="2"/>
                <w:sz w:val="20"/>
                <w:szCs w:val="20"/>
                <w:lang w:val="ru-RU" w:eastAsia="zh-CN" w:bidi="ar-SA"/>
              </w:rPr>
              <w:t>Уровень заряда</w:t>
            </w:r>
          </w:p>
        </w:tc>
      </w:tr>
      <w:tr>
        <w:trPr>
          <w:trHeight w:val="357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 xml:space="preserve">4 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>беспрерывно 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>Примерно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 xml:space="preserve"> 100%</w:t>
            </w:r>
          </w:p>
        </w:tc>
      </w:tr>
      <w:tr>
        <w:trPr>
          <w:trHeight w:val="364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>3 беспрерывно 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>Примерно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 xml:space="preserve"> 75%</w:t>
            </w:r>
          </w:p>
        </w:tc>
      </w:tr>
      <w:tr>
        <w:trPr>
          <w:trHeight w:val="364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>беспрерывно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>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>Примерно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 xml:space="preserve"> 50%</w:t>
            </w:r>
          </w:p>
        </w:tc>
      </w:tr>
      <w:tr>
        <w:trPr>
          <w:trHeight w:val="357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en-US" w:eastAsia="zh-CN" w:bidi="ar-SA"/>
              </w:rPr>
              <w:t xml:space="preserve">1 </w:t>
            </w: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>беспрерывно горит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0"/>
                <w:szCs w:val="20"/>
                <w:lang w:val="ru-RU" w:eastAsia="zh-CN" w:bidi="ar-SA"/>
              </w:rPr>
              <w:t xml:space="preserve">Примерно 25%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(Пожалуйста, подзарядите устройство как можно скорее)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Меры предосторожности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Внимание! Возможно опасное излучение! Не направляйте световой луч в глаза, поскольку это может нанести им существенный вред.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НЕ разбирайте и ничего не меняйте в устройстве налобного фонаря, так как это может привести к его повреждению и аннулированию гарантии на продукт. Пожалуйста, обратитесь к разделу гарантийного обслуживания данного руководства за более подробной информацией.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При хранении устройства в рюкзаке, пожалуйста, не забывайте активировать режим блокировки, чтобы предотвратить случайное включение фонаря.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Пожалуйста, перезаряжайте устройство каждые 3 месяца, если вы не планируете им пользоваться в течение длительного времени.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szCs w:val="21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Вся продукция компании NITECORE® имеет гарантию качества. Любое неработающее/бракованное изделие может быть заменено у местного дистрибьютора/дилера в течение 15 дней после приобретения. По истечении 15 дней любое неработающее/бракованное изделие NITECORE® можно бесплатно отремонтировать в течение 24 месяцев с даты приобретения. По окончании 24 месяцев вступает в силу ограниченная гарантия, покрывающая стоимость работы и технического обслуживания, но не стоимость запасных частей и комплектующих.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Гарантия будет аннулирована, если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Изделие(-я) повреждено(-ы), либо в его(их) конструкцию внесены изменения лицами, не имеющими на то соответствующих полномочий;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Изделие(-я) повреждено(-ы) в результате неправильной эксплуатации.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получения последней информации о продукции NITECORE обращайтесь к местному дистрибьютору либо отправьте электронное сообщение на адрес service@nitecore.com.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※</w:t>
      </w:r>
      <w:r>
        <w:rPr>
          <w:rFonts w:cs="Times New Roman" w:ascii="Times New Roman" w:hAnsi="Times New Roman"/>
          <w:lang w:val="ru-RU"/>
        </w:rPr>
        <w:t>Все изображения, тексты и заявления, содержащиеся в настоящем руководстве, могут быть использованы только в справочных целях. В случае возникновения каких-либо расхождений между данным руководством и информацией, указанной на сайте www.nitecore.com, компания Sysmax Industry Co., Ltd. оставляет за собой право толкования и изменения содержания настоящего документа в любой момент времени без предварительного уведомления.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0dcb"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00c95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00c95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Source Han Sans CN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00c95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b00c95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a0dcb"/>
    <w:pPr>
      <w:ind w:firstLine="42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qFormat/>
    <w:rsid w:val="00c35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Application>LibreOffice/7.3.2.2$Windows_X86_64 LibreOffice_project/49f2b1bff42cfccbd8f788c8dc32c1c309559be0</Application>
  <AppVersion>15.0000</AppVersion>
  <Pages>6</Pages>
  <Words>1240</Words>
  <Characters>7436</Characters>
  <CharactersWithSpaces>8504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2022-08-30T09:38:00Z</dcterms:created>
  <dc:creator>尤 加宜</dc:creator>
  <dc:description/>
  <dc:language>ru-RU</dc:language>
  <cp:lastModifiedBy>НР</cp:lastModifiedBy>
  <dcterms:modified xsi:type="dcterms:W3CDTF">2022-09-14T09:52:00Z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