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 xml:space="preserve">Руководство пользователя </w:t>
      </w:r>
      <w:r>
        <w:rPr>
          <w:rFonts w:eastAsia="等线" w:cs="Times New Roman" w:ascii="Times New Roman" w:hAnsi="Times New Roman" w:eastAsiaTheme="minorHAnsi"/>
          <w:b/>
          <w:bCs/>
        </w:rPr>
        <w:t>HA11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</w:rPr>
      </w:pPr>
      <w:r>
        <w:rPr>
          <w:rFonts w:eastAsia="等线" w:cs="Times New Roman" w:eastAsiaTheme="minorHAnsi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eastAsia="等线" w:cs="Times New Roman" w:eastAsiaTheme="minorHAnsi"/>
        </w:rPr>
      </w:pPr>
      <w:r>
        <w:rPr>
          <w:rFonts w:eastAsia="等线" w:cs="Times New Roman" w:ascii="Times New Roman" w:hAnsi="Times New Roman" w:eastAsiaTheme="minorHAnsi"/>
          <w:b/>
          <w:bCs/>
        </w:rPr>
        <w:t>Краткая</w:t>
      </w:r>
      <w:r>
        <w:rPr>
          <w:rFonts w:eastAsia="等线" w:cs="Times New Roman" w:ascii="Times New Roman" w:hAnsi="Times New Roman" w:eastAsiaTheme="minorHAnsi"/>
          <w:b/>
          <w:bCs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b/>
          <w:bCs/>
        </w:rPr>
        <w:t>инструкция</w:t>
      </w:r>
    </w:p>
    <w:p>
      <w:pPr>
        <w:pStyle w:val="Normal"/>
        <w:rPr>
          <w:rFonts w:ascii="Times New Roman" w:hAnsi="Times New Roman" w:eastAsia="等线" w:cs="Times New Roman" w:eastAsiaTheme="minorHAnsi"/>
        </w:rPr>
      </w:pPr>
      <w:r>
        <w:rPr/>
        <w:drawing>
          <wp:inline distT="0" distB="0" distL="0" distR="0">
            <wp:extent cx="7078980" cy="119062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Сверхлегкий двухлучевой налобный фонарь типа АА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Максимальная выходная мощность — 240 люмен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Красное освещение, предназначенное для обеспечения работы режима ночного видения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Задействует цельную систему оптических линз с различными гранями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Может работать с широким диапазоном напряжения, а также совместимо с различными аккумуляторами AA, такими как щелочными, никель-металлогидридными и литиевыми.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Специально разработано с двумя кнопками, отличающимися по форме и нажатию, для обеспечения простоты управления одной рукой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3 уровня яркости, 2 источника света и 3 специальных режима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Изготовлен из особого поликарбонатного пластика, который обеспечивает ударопрочность и устойчивость к низким температурам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Компактный и легкий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Ударопрочность при падении с высоты до 1 метра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等线" w:cs="Times New Roman" w:eastAsiaTheme="minorHAnsi"/>
          <w:lang w:val="ru-RU"/>
        </w:rPr>
      </w:pPr>
      <w:bookmarkStart w:id="0" w:name="_Hlk117588948"/>
      <w:r>
        <w:rPr>
          <w:rFonts w:eastAsia="等线" w:cs="Times New Roman" w:ascii="Times New Roman" w:hAnsi="Times New Roman" w:eastAsiaTheme="minorHAnsi"/>
          <w:lang w:val="ru-RU"/>
        </w:rPr>
        <w:t>Водо- и пыленепроницаемость в соответствии со степенью защиты IP66</w:t>
      </w:r>
      <w:bookmarkEnd w:id="0"/>
    </w:p>
    <w:p>
      <w:pPr>
        <w:pStyle w:val="Normal"/>
        <w:rPr>
          <w:rFonts w:ascii="Times New Roman" w:hAnsi="Times New Roman" w:eastAsia="等线" w:cs="Times New Roman" w:eastAsiaTheme="minorHAnsi"/>
        </w:rPr>
      </w:pPr>
      <w:r>
        <w:rPr>
          <w:rFonts w:eastAsia="等线" w:cs="Times New Roman" w:eastAsiaTheme="minorHAnsi" w:ascii="Times New Roman" w:hAnsi="Times New Roman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Размеры и вес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Размеры: 61.5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36.2 мм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28.9 мм (2.42"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1.43"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1.14") (с учетом кронштейна)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>Вес: 36 г (1.27 унции) (с учетом кронштейна и головного крепления)</w:t>
      </w:r>
    </w:p>
    <w:p>
      <w:pPr>
        <w:pStyle w:val="Normal"/>
        <w:rPr>
          <w:rFonts w:ascii="Times New Roman" w:hAnsi="Times New Roman" w:eastAsia="等线" w:cs="Times New Roman" w:eastAsiaTheme="minorHAnsi"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   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59 г (2.08 унции) (с учетом кронштейна, головного крепления и аккумулятора)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eastAsiaTheme="minorHAnsi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Комплектующие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Головное крепление, зажим, 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батарейка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bCs/>
          <w:szCs w:val="21"/>
        </w:rPr>
        <w:t>AA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Выбор аккумулятора</w:t>
      </w:r>
    </w:p>
    <w:tbl>
      <w:tblPr>
        <w:tblStyle w:val="12"/>
        <w:tblW w:w="9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7"/>
        <w:gridCol w:w="742"/>
        <w:gridCol w:w="2557"/>
        <w:gridCol w:w="1868"/>
      </w:tblGrid>
      <w:tr>
        <w:trPr/>
        <w:tc>
          <w:tcPr>
            <w:tcW w:w="4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Тип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Номинальное напряжение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Совместимость</w:t>
            </w:r>
          </w:p>
        </w:tc>
      </w:tr>
      <w:tr>
        <w:trPr/>
        <w:tc>
          <w:tcPr>
            <w:tcW w:w="4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 xml:space="preserve">Первичная литиевая батарейка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AA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AA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1.5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В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Y (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рекомендуется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4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Первичная щелочная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батарейка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 xml:space="preserve"> AA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AA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1.5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В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Y (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рекомендуется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4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Перезаряжаемый аккумулятор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 xml:space="preserve"> AA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AA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1.2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В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Y (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рекомендуется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4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Перезаряжаемый литий-ионный аккумулятор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14500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3.7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В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N (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ru-RU" w:eastAsia="zh-CN" w:bidi="ar-SA"/>
              </w:rPr>
              <w:t>несовместим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Технические характеристики</w:t>
      </w:r>
    </w:p>
    <w:tbl>
      <w:tblPr>
        <w:tblStyle w:val="1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472"/>
        <w:gridCol w:w="1125"/>
        <w:gridCol w:w="1006"/>
        <w:gridCol w:w="1467"/>
        <w:gridCol w:w="1125"/>
        <w:gridCol w:w="1066"/>
        <w:gridCol w:w="1589"/>
        <w:gridCol w:w="1614"/>
      </w:tblGrid>
      <w:tr>
        <w:trPr>
          <w:trHeight w:val="303" w:hRule="atLeast"/>
        </w:trPr>
        <w:tc>
          <w:tcPr>
            <w:tcW w:w="14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СТАНДАРТ 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FL1 </w:t>
            </w:r>
          </w:p>
        </w:tc>
        <w:tc>
          <w:tcPr>
            <w:tcW w:w="578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Белое освещение</w:t>
            </w:r>
          </w:p>
        </w:tc>
        <w:tc>
          <w:tcPr>
            <w:tcW w:w="32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Красное освещение</w:t>
            </w:r>
          </w:p>
        </w:tc>
      </w:tr>
      <w:tr>
        <w:trPr>
          <w:trHeight w:val="303" w:hRule="atLeast"/>
        </w:trPr>
        <w:tc>
          <w:tcPr>
            <w:tcW w:w="14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eastAsiaTheme="minorHAnsi" w:ascii="Times New Roman" w:hAnsi="Times New Roman"/>
                <w:bCs/>
                <w:szCs w:val="21"/>
              </w:rPr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ВЫСОКИЙ</w:t>
            </w:r>
          </w:p>
        </w:tc>
        <w:tc>
          <w:tcPr>
            <w:tcW w:w="1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НИЗКИЙ</w:t>
            </w:r>
          </w:p>
        </w:tc>
        <w:tc>
          <w:tcPr>
            <w:tcW w:w="1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СВЕРХНИЗКИЙ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SOS</w:t>
            </w:r>
          </w:p>
        </w:tc>
        <w:tc>
          <w:tcPr>
            <w:tcW w:w="10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МАЯК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БЕСПРЕРЫВНОЕ СВЕЧЕНИЕ</w:t>
            </w:r>
          </w:p>
        </w:tc>
        <w:tc>
          <w:tcPr>
            <w:tcW w:w="1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МЕДЛЕННОЕ МИГАНИЕ</w:t>
            </w:r>
          </w:p>
        </w:tc>
      </w:tr>
      <w:tr>
        <w:trPr>
          <w:trHeight w:val="331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w:drawing>
                <wp:inline distT="0" distB="0" distL="0" distR="0">
                  <wp:extent cx="323850" cy="194310"/>
                  <wp:effectExtent l="0" t="0" r="0" b="0"/>
                  <wp:docPr id="2" name="图片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240 люмен</w:t>
            </w:r>
          </w:p>
        </w:tc>
        <w:tc>
          <w:tcPr>
            <w:tcW w:w="1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60 люмен</w:t>
            </w:r>
          </w:p>
        </w:tc>
        <w:tc>
          <w:tcPr>
            <w:tcW w:w="1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6 люмен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240 люмен</w:t>
            </w:r>
          </w:p>
        </w:tc>
        <w:tc>
          <w:tcPr>
            <w:tcW w:w="10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240 люмен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5 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5 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</w:tr>
      <w:tr>
        <w:trPr>
          <w:trHeight w:val="303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w:drawing>
                <wp:inline distT="0" distB="0" distL="0" distR="0">
                  <wp:extent cx="200025" cy="176530"/>
                  <wp:effectExtent l="0" t="0" r="0" b="0"/>
                  <wp:docPr id="3" name="图片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4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40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0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303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w:drawing>
                <wp:inline distT="0" distB="0" distL="0" distR="0">
                  <wp:extent cx="200025" cy="162560"/>
                  <wp:effectExtent l="0" t="0" r="0" b="0"/>
                  <wp:docPr id="4" name="图片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90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45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0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291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5186E072">
                      <wp:extent cx="209550" cy="185420"/>
                      <wp:effectExtent l="0" t="0" r="0" b="5080"/>
                      <wp:docPr id="5" name="图片 10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0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54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图片 10" stroked="f" o:allowincell="f" style="position:absolute;margin-left:0pt;margin-top:-15.05pt;width:16.45pt;height:14.55pt;mso-wrap-style:none;v-text-anchor:middle;rotation:180;mso-position-vertical:top" wp14:anchorId="5186E072" type="_x0000_t75">
                      <v:imagedata r:id="rId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1,600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460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4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30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0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  <w:lang w:val="ru-RU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15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303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w:drawing>
                <wp:inline distT="0" distB="0" distL="0" distR="0">
                  <wp:extent cx="200025" cy="177800"/>
                  <wp:effectExtent l="0" t="0" r="0" b="0"/>
                  <wp:docPr id="6" name="图片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</w:t>
            </w:r>
            <w:r>
              <w:rPr>
                <w:rFonts w:eastAsia="等线" w:cs="Times New Roman" w:ascii="Times New Roman" w:hAnsi="Times New Roman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  <w:r>
              <w:rPr>
                <w:rFonts w:eastAsia="等线" w:cs="Times New Roman" w:ascii="Times New Roman" w:hAnsi="Times New Roman" w:eastAsiaTheme="minorHAnsi"/>
                <w:kern w:val="0"/>
                <w:sz w:val="20"/>
                <w:szCs w:val="21"/>
                <w:lang w:val="en-US" w:eastAsia="zh-CN" w:bidi="ar-SA"/>
              </w:rPr>
              <w:t xml:space="preserve"> (</w:t>
            </w:r>
            <w:r>
              <w:rPr>
                <w:rFonts w:eastAsia="等线" w:cs="Times New Roman" w:ascii="Times New Roman" w:hAnsi="Times New Roman" w:eastAsiaTheme="minorHAnsi"/>
                <w:kern w:val="0"/>
                <w:sz w:val="20"/>
                <w:szCs w:val="21"/>
                <w:lang w:val="ru-RU" w:eastAsia="zh-CN" w:bidi="ar-SA"/>
              </w:rPr>
              <w:t>ударопрочность</w:t>
            </w:r>
            <w:r>
              <w:rPr>
                <w:rFonts w:eastAsia="等线" w:cs="Times New Roman" w:ascii="Times New Roman" w:hAnsi="Times New Roman" w:eastAsiaTheme="minorHAnsi"/>
                <w:kern w:val="0"/>
                <w:sz w:val="20"/>
                <w:szCs w:val="21"/>
                <w:lang w:val="en-US" w:eastAsia="zh-CN" w:bidi="ar-SA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14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/>
              <w:drawing>
                <wp:inline distT="0" distB="0" distL="0" distR="0">
                  <wp:extent cx="261620" cy="142875"/>
                  <wp:effectExtent l="0" t="0" r="0" b="0"/>
                  <wp:docPr id="7" name="图片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bCs/>
                <w:szCs w:val="21"/>
              </w:rPr>
            </w:pPr>
            <w:r>
              <w:rPr>
                <w:rFonts w:eastAsia="等线" w:cs="Times New Roman" w:ascii="Times New Roman" w:hAnsi="Times New Roman" w:eastAsiaTheme="minorHAnsi"/>
                <w:kern w:val="0"/>
                <w:sz w:val="20"/>
                <w:szCs w:val="20"/>
                <w:lang w:val="en-US" w:eastAsia="zh-CN" w:bidi="ar-SA"/>
              </w:rPr>
              <w:t>IP66</w:t>
            </w:r>
          </w:p>
        </w:tc>
      </w:tr>
    </w:tbl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szCs w:val="21"/>
          <w:lang w:val="ru-RU"/>
        </w:rPr>
        <w:t xml:space="preserve">Примечание: 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приведенные данные получены при использовании 1 </w:t>
      </w:r>
      <w:r>
        <w:rPr>
          <w:rFonts w:eastAsia="等线" w:cs="Times New Roman" w:ascii="Times New Roman" w:hAnsi="Times New Roman" w:eastAsiaTheme="minorHAnsi"/>
          <w:szCs w:val="21"/>
        </w:rPr>
        <w:t>x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1.5В щелочной батарейки АА в соответствии с международными стандартами тестирования фонарей </w:t>
      </w:r>
      <w:r>
        <w:rPr>
          <w:rFonts w:eastAsia="等线" w:cs="Times New Roman" w:ascii="Times New Roman" w:hAnsi="Times New Roman" w:eastAsiaTheme="minorHAnsi"/>
          <w:szCs w:val="21"/>
        </w:rPr>
        <w:t>ANSI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/</w:t>
      </w:r>
      <w:r>
        <w:rPr>
          <w:rFonts w:eastAsia="等线" w:cs="Times New Roman" w:ascii="Times New Roman" w:hAnsi="Times New Roman" w:eastAsiaTheme="minorHAnsi"/>
          <w:szCs w:val="21"/>
        </w:rPr>
        <w:t>NEMA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  <w:szCs w:val="21"/>
        </w:rPr>
        <w:t>FL</w:t>
      </w:r>
      <w:r>
        <w:rPr>
          <w:rFonts w:eastAsia="等线" w:cs="Times New Roman" w:ascii="Times New Roman" w:hAnsi="Times New Roman" w:eastAsiaTheme="minorHAnsi"/>
          <w:szCs w:val="21"/>
          <w:lang w:val="ru-RU"/>
        </w:rPr>
        <w:t>1. Данные при эксплуатации могут отличаться от приведенных вследствие использования другого аккумулятора или иных условий окружающей среды.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4291330</wp:posOffset>
            </wp:positionH>
            <wp:positionV relativeFrom="paragraph">
              <wp:posOffset>13970</wp:posOffset>
            </wp:positionV>
            <wp:extent cx="2263775" cy="1798320"/>
            <wp:effectExtent l="0" t="0" r="0" b="0"/>
            <wp:wrapSquare wrapText="bothSides"/>
            <wp:docPr id="8" name="图片 1" descr="F:\Jessie\H系列\HA11\HA11装入电池.jpgHA11装入电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F:\Jessie\H系列\HA11\HA11装入电池.jpgHA11装入电池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Установка / извлечение аккумулятора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После открытия аккумуляторного отсека установите / извлеките аккумулятор </w:t>
      </w:r>
      <w:r>
        <w:rPr>
          <w:rFonts w:eastAsia="等线" w:cs="Times New Roman" w:ascii="Times New Roman" w:hAnsi="Times New Roman" w:eastAsiaTheme="minorHAnsi"/>
          <w:bCs/>
          <w:szCs w:val="21"/>
        </w:rPr>
        <w:t>AA</w:t>
      </w: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 xml:space="preserve"> так, как это показано на иллюстрации.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Меры предосторожности: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1. Убедитесь, что аккумулятор установлен в соответствии с указанными обозначениями полярности. Устройство не будет работать, если аккумулятор вставлен неправильно.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2. ВНИМАНИЕ! Возможно опасное излучение! Не направляйте луч фонаря в глаза! Поскольку это может нанести им значительный вред.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3. Если вы планируете хранить / переносить устройство в рюкзаке или не пользоваться им в течение длительного времени, пожалуйста, не забудьте извлечь аккумулятор, чтобы предотвратить случайную активацию фонаря или протечку аккумулятора.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4316095</wp:posOffset>
            </wp:positionH>
            <wp:positionV relativeFrom="paragraph">
              <wp:posOffset>19050</wp:posOffset>
            </wp:positionV>
            <wp:extent cx="2716530" cy="1529715"/>
            <wp:effectExtent l="0" t="0" r="0" b="0"/>
            <wp:wrapSquare wrapText="bothSides"/>
            <wp:docPr id="9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lang w:val="ru-RU"/>
        </w:rPr>
        <w:t>Кнопка питания (</w:t>
      </w:r>
      <w:r>
        <w:rPr>
          <w:rFonts w:cs="Times New Roman" w:ascii="Times New Roman" w:hAnsi="Times New Roman"/>
          <w:b/>
          <w:bCs/>
        </w:rPr>
        <w:t>Power</w:t>
      </w:r>
      <w:r>
        <w:rPr>
          <w:rFonts w:cs="Times New Roman" w:ascii="Times New Roman" w:hAnsi="Times New Roman"/>
          <w:b/>
          <w:bCs/>
          <w:lang w:val="ru-RU"/>
        </w:rPr>
        <w:t>) / кнопка режима (</w:t>
      </w:r>
      <w:r>
        <w:rPr>
          <w:rFonts w:cs="Times New Roman" w:ascii="Times New Roman" w:hAnsi="Times New Roman"/>
          <w:b/>
          <w:bCs/>
        </w:rPr>
        <w:t>MODE</w:t>
      </w:r>
      <w:r>
        <w:rPr>
          <w:rFonts w:cs="Times New Roman" w:ascii="Times New Roman" w:hAnsi="Times New Roman"/>
          <w:b/>
          <w:bCs/>
          <w:lang w:val="ru-RU"/>
        </w:rPr>
        <w:t xml:space="preserve">)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Кнопка питания используется для включения / выключения фонаря и регулирования уровня яркости.</w:t>
      </w:r>
      <w:r>
        <w:rPr>
          <w:lang w:val="ru-RU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Кнопка режима (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>) предназначена для переключения между источниками света.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Включение / выключение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выключено, зажмите и удерживайте кнопку питания в течение 1 секунды, чтобы перейти в режим низкого уровня яркости.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включено, зажмите и удерживайте кнопку питания или кнопку режима (</w:t>
      </w:r>
      <w:r>
        <w:rPr>
          <w:rFonts w:eastAsia="等线" w:cs="Times New Roman" w:ascii="Times New Roman" w:hAnsi="Times New Roman" w:eastAsiaTheme="minorHAnsi"/>
        </w:rPr>
        <w:t>MODE</w:t>
      </w:r>
      <w:r>
        <w:rPr>
          <w:rFonts w:eastAsia="等线" w:cs="Times New Roman" w:ascii="Times New Roman" w:hAnsi="Times New Roman" w:eastAsiaTheme="minorHAnsi"/>
          <w:lang w:val="ru-RU"/>
        </w:rPr>
        <w:t>) в течение 1 секунды, чтобы его выключить.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eastAsiaTheme="minorHAnsi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Белое освещение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выключено, зажмите и удерживайте кнопку питания в течение 1 секунды, чтобы перейти в режим низкого уровня яркости.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выключено, дважды нажмите на кнопку питания, чтобы перейти в режим сверхнизкого уровня яркости.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включено, кратковременно нажимайте на кнопку питания, чтобы переключаться между следующими уровнями яркости: НИЗКИЙ – ВЫСОКИЙ.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Примечание:</w:t>
      </w:r>
      <w:r>
        <w:rPr>
          <w:rFonts w:eastAsia="等线" w:cs="Times New Roman" w:ascii="Times New Roman" w:hAnsi="Times New Roman" w:eastAsiaTheme="minorHAnsi"/>
          <w:lang w:val="ru-RU"/>
        </w:rPr>
        <w:t xml:space="preserve"> ВЫСОКИЙ уровень яркости будет автоматически понижен после длительной активации во избежание перегрева устройства, а также чтобы продлить срок службы аккумулятора.</w:t>
      </w:r>
    </w:p>
    <w:p>
      <w:pPr>
        <w:pStyle w:val="Normal"/>
        <w:ind w:firstLine="420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eastAsiaTheme="minorHAnsi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Красное освещение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устройство выключено, зажмите и удерживайте кнопку режима (MODE) в течение 1 секунды, чтобы включить красное освещение.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Когда работает красное освещение, кратковременно нажимайте на кнопку питания, чтобы переключаться между режимами БЕСПРЕРЫВНОЕ СВЕЧЕНИЕ и МЕДЛЕННОЕ МИГАНИЕ.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eastAsiaTheme="minorHAnsi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Переключение между источниками света</w:t>
      </w:r>
    </w:p>
    <w:p>
      <w:pPr>
        <w:pStyle w:val="Normal"/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устройство включено, кратковременно нажимайте на кнопку режима (MODE), чтобы переключаться между белым и красным освещением.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Специальные режимы (SOS / МАЯК)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налобный фонарь находится в любом из режимов, дважды нажмите на кнопку режима (MODE), чтобы перейти в режим SOS.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включен какой-либо из специальных режимов, кратковременно нажимайте на кнопку питания, чтобы переключаться между режимами SOS и МАЯК. Снова дважды нажмите на кнопку режима (MODE), чтобы вернуться к предыдущему режиму.</w:t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eastAsiaTheme="minorHAnsi" w:ascii="Times New Roman" w:hAnsi="Times New Roman"/>
          <w:b/>
          <w:szCs w:val="21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/>
          <w:szCs w:val="21"/>
          <w:lang w:val="ru-RU"/>
        </w:rPr>
        <w:t>Блокировка / разблокировка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Когда налобный фонарь выключен, зажмите и удерживайте обе кнопки в течение 2 секунд, пока индикатор не мигнет 3 раза, сообщая таким образом о переходе в режим блокировки. В режиме блокировки никакие уровни яркости и специальные режимы недоступны, и при нажатии на любую из кнопок индикатор будет однократно мигать, сообщая таким образом о нахождении фонаря в этом режиме.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eastAsia="等线" w:cs="Times New Roman" w:eastAsiaTheme="minorHAnsi"/>
          <w:bCs/>
          <w:szCs w:val="21"/>
          <w:lang w:val="ru-RU"/>
        </w:rPr>
      </w:pPr>
      <w:r>
        <w:rPr>
          <w:rFonts w:eastAsia="等线" w:cs="Times New Roman" w:ascii="Times New Roman" w:hAnsi="Times New Roman" w:eastAsiaTheme="minorHAnsi"/>
          <w:bCs/>
          <w:szCs w:val="21"/>
          <w:lang w:val="ru-RU"/>
        </w:rPr>
        <w:t>В режиме блокировки снова зажмите и удерживайте обе кнопки в течение 2 секунд, пока устройство не перейдет в режим сверхнизкого уровня яркости, что будет указывать на разблокировку фонаря.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Замена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Аккумулятор необходимо заменить, если свет фонаря кажется тусклым или устройство перестает реагировать на команды из-за низкого уровня заряда.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Меры предосторожности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1. ВНИМАНИЕ! Возможно опасное излучение! Не направляйте луч фонаря в глаза! Поскольку это может нанести им значительный вред.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2. Пожалуйста, не забудьте извлечь из устройства аккумулятор во избежание протечки аккумулятора, если вы планируете не пользоваться им в течение длительного времени.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3. При хранении устройства в рюкзаке переводите его в режим блокировки во избежание его случайной активации.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4. НЕ разбирайте налобный фонарь и не вносите какие-либо изменения в его конструкцию, так как это может привести к его повреждению и аннулированию гарантии на продукт. Пожалуйста, обратитесь к разделу гарантии текущего руководства для получения о ней полной информации.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5. Утилизируйте устройство / аккумуляторы в соответствии с актуальным местным законодательством и принятыми в вашем регионе правилами.</w:t>
      </w:r>
    </w:p>
    <w:p>
      <w:pPr>
        <w:pStyle w:val="Normal"/>
        <w:rPr>
          <w:rFonts w:ascii="Times New Roman" w:hAnsi="Times New Roman" w:eastAsia="等线" w:cs="Times New Roman" w:eastAsiaTheme="minorHAnsi"/>
        </w:rPr>
      </w:pPr>
      <w:r>
        <w:rPr>
          <w:rFonts w:eastAsia="等线" w:cs="Times New Roman" w:eastAsiaTheme="minorHAnsi" w:ascii="Times New Roman" w:hAnsi="Times New Roman"/>
        </w:rPr>
      </w:r>
    </w:p>
    <w:p>
      <w:pPr>
        <w:pStyle w:val="Normal"/>
        <w:rPr>
          <w:rFonts w:ascii="Times New Roman" w:hAnsi="Times New Roman" w:eastAsia="等线" w:cs="Times New Roman" w:eastAsiaTheme="minorHAnsi"/>
          <w:b/>
          <w:b/>
          <w:bCs/>
          <w:lang w:val="ru-RU"/>
        </w:rPr>
      </w:pPr>
      <w:r>
        <w:rPr>
          <w:rFonts w:eastAsia="等线" w:cs="Times New Roman" w:ascii="Times New Roman" w:hAnsi="Times New Roman" w:eastAsiaTheme="minorHAnsi"/>
          <w:b/>
          <w:bCs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 xml:space="preserve">На всю продукцию 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1. устройство было сломано или в его конструкцию были внесены изменения неуполномоченными на то (т.е. неофициальными) лицами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>2. продукция была повреждена вследствие неправильного пользования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 xml:space="preserve">За последней информацией о продукции и услугах 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 xml:space="preserve">®, пожалуйста, обращайтесь к региональному дистрибьютору 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 xml:space="preserve">® или пишите на почту </w:t>
      </w:r>
      <w:r>
        <w:rPr>
          <w:rFonts w:eastAsia="等线" w:cs="Times New Roman" w:ascii="Times New Roman" w:hAnsi="Times New Roman" w:eastAsiaTheme="minorHAnsi"/>
        </w:rPr>
        <w:t>service</w:t>
      </w:r>
      <w:r>
        <w:rPr>
          <w:rFonts w:eastAsia="等线" w:cs="Times New Roman" w:ascii="Times New Roman" w:hAnsi="Times New Roman" w:eastAsiaTheme="minorHAnsi"/>
          <w:lang w:val="ru-RU"/>
        </w:rPr>
        <w:t>@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>.</w:t>
      </w:r>
      <w:r>
        <w:rPr>
          <w:rFonts w:eastAsia="等线" w:cs="Times New Roman" w:ascii="Times New Roman" w:hAnsi="Times New Roman" w:eastAsiaTheme="minorHAnsi"/>
        </w:rPr>
        <w:t>com</w:t>
      </w:r>
    </w:p>
    <w:p>
      <w:pPr>
        <w:pStyle w:val="Normal"/>
        <w:rPr>
          <w:rFonts w:ascii="Times New Roman" w:hAnsi="Times New Roman" w:eastAsia="等线" w:cs="Times New Roman" w:eastAsiaTheme="minorHAnsi"/>
          <w:lang w:val="ru-RU"/>
        </w:rPr>
      </w:pPr>
      <w:r>
        <w:rPr>
          <w:rFonts w:eastAsia="等线" w:cs="Times New Roman" w:ascii="Times New Roman" w:hAnsi="Times New Roman" w:eastAsiaTheme="minorHAnsi"/>
          <w:lang w:val="ru-RU"/>
        </w:rPr>
        <w:t xml:space="preserve">※ </w:t>
      </w:r>
      <w:r>
        <w:rPr>
          <w:rFonts w:eastAsia="等线" w:cs="Times New Roman" w:ascii="Times New Roman" w:hAnsi="Times New Roman" w:eastAsiaTheme="minorHAnsi"/>
          <w:lang w:val="ru-RU"/>
        </w:rPr>
        <w:t xml:space="preserve">Все изображения, тексты и утверждения, приведенные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eastAsia="等线" w:cs="Times New Roman" w:ascii="Times New Roman" w:hAnsi="Times New Roman" w:eastAsiaTheme="minorHAnsi"/>
        </w:rPr>
        <w:t>www</w:t>
      </w:r>
      <w:r>
        <w:rPr>
          <w:rFonts w:eastAsia="等线" w:cs="Times New Roman" w:ascii="Times New Roman" w:hAnsi="Times New Roman" w:eastAsiaTheme="minorHAnsi"/>
          <w:lang w:val="ru-RU"/>
        </w:rPr>
        <w:t>.</w:t>
      </w:r>
      <w:r>
        <w:rPr>
          <w:rFonts w:eastAsia="等线" w:cs="Times New Roman" w:ascii="Times New Roman" w:hAnsi="Times New Roman" w:eastAsiaTheme="minorHAnsi"/>
        </w:rPr>
        <w:t>nitecore</w:t>
      </w:r>
      <w:r>
        <w:rPr>
          <w:rFonts w:eastAsia="等线" w:cs="Times New Roman" w:ascii="Times New Roman" w:hAnsi="Times New Roman" w:eastAsiaTheme="minorHAnsi"/>
          <w:lang w:val="ru-RU"/>
        </w:rPr>
        <w:t>.</w:t>
      </w:r>
      <w:r>
        <w:rPr>
          <w:rFonts w:eastAsia="等线" w:cs="Times New Roman" w:ascii="Times New Roman" w:hAnsi="Times New Roman" w:eastAsiaTheme="minorHAnsi"/>
        </w:rPr>
        <w:t>com</w:t>
      </w:r>
      <w:r>
        <w:rPr>
          <w:rFonts w:eastAsia="等线" w:cs="Times New Roman" w:ascii="Times New Roman" w:hAnsi="Times New Roman" w:eastAsiaTheme="minorHAnsi"/>
          <w:lang w:val="ru-RU"/>
        </w:rPr>
        <w:t xml:space="preserve">, </w:t>
      </w:r>
      <w:r>
        <w:rPr>
          <w:rFonts w:eastAsia="等线" w:cs="Times New Roman" w:ascii="Times New Roman" w:hAnsi="Times New Roman" w:eastAsiaTheme="minorHAnsi"/>
        </w:rPr>
        <w:t>Sysmax</w:t>
      </w:r>
      <w:r>
        <w:rPr>
          <w:rFonts w:eastAsia="等线" w:cs="Times New Roman" w:ascii="Times New Roman" w:hAnsi="Times New Roman" w:eastAsiaTheme="minorHAnsi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</w:rPr>
        <w:t>Innovations</w:t>
      </w:r>
      <w:r>
        <w:rPr>
          <w:rFonts w:eastAsia="等线" w:cs="Times New Roman" w:ascii="Times New Roman" w:hAnsi="Times New Roman" w:eastAsiaTheme="minorHAnsi"/>
          <w:lang w:val="ru-RU"/>
        </w:rPr>
        <w:t xml:space="preserve"> </w:t>
      </w:r>
      <w:r>
        <w:rPr>
          <w:rFonts w:eastAsia="等线" w:cs="Times New Roman" w:ascii="Times New Roman" w:hAnsi="Times New Roman" w:eastAsiaTheme="minorHAnsi"/>
        </w:rPr>
        <w:t>Co</w:t>
      </w:r>
      <w:r>
        <w:rPr>
          <w:rFonts w:eastAsia="等线" w:cs="Times New Roman" w:ascii="Times New Roman" w:hAnsi="Times New Roman" w:eastAsiaTheme="minorHAnsi"/>
          <w:lang w:val="ru-RU"/>
        </w:rPr>
        <w:t xml:space="preserve">., </w:t>
      </w:r>
      <w:r>
        <w:rPr>
          <w:rFonts w:eastAsia="等线" w:cs="Times New Roman" w:ascii="Times New Roman" w:hAnsi="Times New Roman" w:eastAsiaTheme="minorHAnsi"/>
        </w:rPr>
        <w:t>Ltd</w:t>
      </w:r>
      <w:r>
        <w:rPr>
          <w:rFonts w:eastAsia="等线" w:cs="Times New Roman" w:ascii="Times New Roman" w:hAnsi="Times New Roman" w:eastAsiaTheme="minorHAnsi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eastAsia="等线" w:cs="Times New Roman" w:eastAsiaTheme="minorHAnsi"/>
        </w:rPr>
      </w:pPr>
      <w:r>
        <w:rPr>
          <w:rFonts w:eastAsia="等线" w:cs="Times New Roman" w:eastAsiaTheme="minorHAnsi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4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500"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f7dcd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f7dcd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53500"/>
    <w:pPr>
      <w:ind w:firstLine="42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3f7dcd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3f7dcd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uiPriority w:val="59"/>
    <w:rsid w:val="00c95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网格型1"/>
    <w:basedOn w:val="a1"/>
    <w:uiPriority w:val="39"/>
    <w:rsid w:val="00a34a3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a34a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LibreOffice/7.3.2.2$Windows_X86_64 LibreOffice_project/49f2b1bff42cfccbd8f788c8dc32c1c309559be0</Application>
  <AppVersion>15.0000</AppVersion>
  <Pages>4</Pages>
  <Words>1061</Words>
  <Characters>6627</Characters>
  <CharactersWithSpaces>7548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2022-12-06T07:54:00Z</dcterms:created>
  <dc:creator>尤 加宜</dc:creator>
  <dc:description/>
  <dc:language>ru-RU</dc:language>
  <cp:lastModifiedBy/>
  <dcterms:modified xsi:type="dcterms:W3CDTF">2023-02-06T14:31:50Z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